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4D79" w14:textId="77777777" w:rsidR="00334583" w:rsidRDefault="0079093D" w:rsidP="00F22268">
      <w:pPr>
        <w:jc w:val="both"/>
        <w:rPr>
          <w:color w:val="000000"/>
        </w:rPr>
      </w:pPr>
      <w:r>
        <w:rPr>
          <w:color w:val="000000"/>
        </w:rPr>
        <w:t>Ethical dilemmas in researching sousveillance on YouTube Revisited</w:t>
      </w:r>
    </w:p>
    <w:p w14:paraId="1AC90309" w14:textId="77777777" w:rsidR="00E36186" w:rsidRDefault="00E36186" w:rsidP="00F22268">
      <w:pPr>
        <w:jc w:val="both"/>
        <w:rPr>
          <w:color w:val="000000"/>
        </w:rPr>
      </w:pPr>
    </w:p>
    <w:p w14:paraId="2C862F36" w14:textId="77777777" w:rsidR="00652801" w:rsidRDefault="00652801" w:rsidP="00F22268">
      <w:pPr>
        <w:jc w:val="both"/>
        <w:rPr>
          <w:color w:val="000000"/>
        </w:rPr>
      </w:pPr>
      <w:r>
        <w:rPr>
          <w:color w:val="000000"/>
        </w:rPr>
        <w:t>Abstract</w:t>
      </w:r>
    </w:p>
    <w:p w14:paraId="32CDF446" w14:textId="77777777" w:rsidR="00652801" w:rsidRDefault="00652801" w:rsidP="00F22268">
      <w:pPr>
        <w:jc w:val="both"/>
      </w:pPr>
    </w:p>
    <w:p w14:paraId="2220EA1D" w14:textId="13D9C2B8" w:rsidR="00652801" w:rsidRDefault="00652801" w:rsidP="00F22268">
      <w:pPr>
        <w:jc w:val="both"/>
      </w:pPr>
      <w:r w:rsidRPr="00CC0D70">
        <w:t xml:space="preserve">The socio-technical affordances of online platforms like YouTube enable citizens to distribute sousveillance (or inverse surveillance) footage, focusing attention on police brutality, to a potential global audience. </w:t>
      </w:r>
      <w:r w:rsidRPr="00EE77CD">
        <w:t>This undoubtedly creates new opportunities for qualitative researchers exploring the role of social media in contemporary protest and social movements, but it also presents a series of ethical dilemmas to be addressed</w:t>
      </w:r>
      <w:r>
        <w:t xml:space="preserve">. </w:t>
      </w:r>
      <w:r w:rsidRPr="00CC0D70">
        <w:t>Most notably, scholars must consider the feasibility and desirability of seeking informed consent from those uploading and commenting on these videos.</w:t>
      </w:r>
      <w:r>
        <w:t xml:space="preserve"> </w:t>
      </w:r>
      <w:r w:rsidRPr="00EE77CD">
        <w:t xml:space="preserve">This </w:t>
      </w:r>
      <w:r w:rsidR="00CE08EA">
        <w:t>requires</w:t>
      </w:r>
      <w:r w:rsidRPr="00EE77CD">
        <w:t xml:space="preserve"> some engagement with the merits of the so-called ‘fair game’ defence, namely that publicly available social media data can be used without ethical considerations due to the fact that users should be aware of such data collection courtesy of the terms of service of each platform.</w:t>
      </w:r>
      <w:r w:rsidRPr="00CC0D70">
        <w:t xml:space="preserve"> </w:t>
      </w:r>
      <w:r>
        <w:t xml:space="preserve">In this paper, I </w:t>
      </w:r>
      <w:r w:rsidR="00643F54">
        <w:t xml:space="preserve">consider </w:t>
      </w:r>
      <w:r w:rsidR="00CD7321">
        <w:t xml:space="preserve">what measures, if any, should be taken to protect those who comment on social media sousveillance. </w:t>
      </w:r>
      <w:r>
        <w:t xml:space="preserve">I do so by revisiting the ethical </w:t>
      </w:r>
      <w:r w:rsidR="00A23BA8">
        <w:t xml:space="preserve">approach </w:t>
      </w:r>
      <w:r>
        <w:t>taken during a previous study of how YouTube was used to share sousveillance footage, namely the 2011 ‘Battle of Stokes Croft’ in Bristol</w:t>
      </w:r>
      <w:r w:rsidR="008D3399">
        <w:t>, England</w:t>
      </w:r>
      <w:r>
        <w:t xml:space="preserve">. I reflect on whether </w:t>
      </w:r>
      <w:r w:rsidR="00CD7321">
        <w:t>a different stance might be taken</w:t>
      </w:r>
      <w:r>
        <w:t xml:space="preserve"> </w:t>
      </w:r>
      <w:r w:rsidR="00CD7321">
        <w:t>if this research was to be conducted in the contemporary era</w:t>
      </w:r>
      <w:r w:rsidRPr="00EE77CD">
        <w:t xml:space="preserve">. I argue that </w:t>
      </w:r>
      <w:r>
        <w:t>s</w:t>
      </w:r>
      <w:r w:rsidRPr="00EE77CD">
        <w:t xml:space="preserve">ousveillance researchers should focus on what is said online rather than who says it.  </w:t>
      </w:r>
    </w:p>
    <w:p w14:paraId="63C2155A" w14:textId="77777777" w:rsidR="00652801" w:rsidRDefault="00652801" w:rsidP="00F22268">
      <w:pPr>
        <w:jc w:val="both"/>
        <w:rPr>
          <w:color w:val="000000"/>
        </w:rPr>
      </w:pPr>
    </w:p>
    <w:p w14:paraId="27BA0E17" w14:textId="77777777" w:rsidR="00652801" w:rsidRDefault="00652801" w:rsidP="00F22268">
      <w:pPr>
        <w:jc w:val="both"/>
        <w:rPr>
          <w:color w:val="000000"/>
        </w:rPr>
      </w:pPr>
    </w:p>
    <w:p w14:paraId="27BB4D84" w14:textId="77777777" w:rsidR="00652801" w:rsidRDefault="00652801" w:rsidP="00F22268">
      <w:pPr>
        <w:jc w:val="both"/>
        <w:rPr>
          <w:color w:val="000000"/>
        </w:rPr>
      </w:pPr>
      <w:r>
        <w:rPr>
          <w:color w:val="000000"/>
        </w:rPr>
        <w:t>Introduction</w:t>
      </w:r>
    </w:p>
    <w:p w14:paraId="57998D87" w14:textId="77777777" w:rsidR="00652801" w:rsidRDefault="00652801" w:rsidP="00F22268">
      <w:pPr>
        <w:jc w:val="both"/>
        <w:rPr>
          <w:color w:val="000000"/>
        </w:rPr>
      </w:pPr>
    </w:p>
    <w:p w14:paraId="38D7664F" w14:textId="23998C99" w:rsidR="00652801" w:rsidRDefault="004F32F7" w:rsidP="00F22268">
      <w:pPr>
        <w:jc w:val="both"/>
        <w:rPr>
          <w:color w:val="000000"/>
        </w:rPr>
      </w:pPr>
      <w:r>
        <w:t>O</w:t>
      </w:r>
      <w:r w:rsidRPr="00CC0D70">
        <w:t xml:space="preserve">nline platforms like YouTube enable citizens to distribute sousveillance (or inverse surveillance) footage to a potential global audience. </w:t>
      </w:r>
      <w:r w:rsidR="008D3399">
        <w:t>While t</w:t>
      </w:r>
      <w:r w:rsidRPr="00EE77CD">
        <w:t>his</w:t>
      </w:r>
      <w:r>
        <w:t xml:space="preserve"> </w:t>
      </w:r>
      <w:r w:rsidRPr="00EE77CD">
        <w:t xml:space="preserve">creates new opportunities for researchers exploring </w:t>
      </w:r>
      <w:r w:rsidR="008D63FF">
        <w:t>how</w:t>
      </w:r>
      <w:r w:rsidRPr="00EE77CD">
        <w:t xml:space="preserve"> social media </w:t>
      </w:r>
      <w:r w:rsidR="008D63FF">
        <w:t>are used to document the actions of authority figures</w:t>
      </w:r>
      <w:r w:rsidRPr="00EE77CD">
        <w:t xml:space="preserve">, it also presents a series of ethical dilemmas </w:t>
      </w:r>
      <w:r w:rsidR="008D63FF">
        <w:t>that need to</w:t>
      </w:r>
      <w:r w:rsidRPr="00EE77CD">
        <w:t xml:space="preserve"> be addressed</w:t>
      </w:r>
      <w:r>
        <w:t xml:space="preserve">. </w:t>
      </w:r>
      <w:r w:rsidRPr="00CC0D70">
        <w:t>Most notably, scholars must consider the feasibility and desirability of seeking informed consent from those uploading and commenting on these videos</w:t>
      </w:r>
      <w:r>
        <w:t>.</w:t>
      </w:r>
      <w:r w:rsidR="008D63FF">
        <w:t xml:space="preserve"> On the one hand,</w:t>
      </w:r>
      <w:r>
        <w:t xml:space="preserve"> </w:t>
      </w:r>
      <w:r w:rsidR="008D63FF">
        <w:t>i</w:t>
      </w:r>
      <w:r w:rsidR="008D3399">
        <w:t>dentifying ‘unaware participants’ without their permission might expose them to harm, both physical and reputational.</w:t>
      </w:r>
      <w:r>
        <w:t xml:space="preserve"> </w:t>
      </w:r>
      <w:r w:rsidR="008D63FF">
        <w:t>On the other, it might be argued that such content is ‘fair game’ due to the widely perceived publicness of the online platforms themselves.</w:t>
      </w:r>
      <w:r>
        <w:t xml:space="preserve"> In this chapter I will reflect on </w:t>
      </w:r>
      <w:r w:rsidR="008D3399">
        <w:t>how researchers can address these</w:t>
      </w:r>
      <w:r>
        <w:t xml:space="preserve"> </w:t>
      </w:r>
      <w:r w:rsidR="008D3399">
        <w:t>dilemmas. Drawing on the ethical stance I developed for a previous study of social media sousveillance, namely the 2011 ‘Battle of Stokes Croft’ in Bristol, I consider whether</w:t>
      </w:r>
      <w:r w:rsidR="008D63FF">
        <w:t xml:space="preserve"> subsequent</w:t>
      </w:r>
      <w:r w:rsidR="008D3399">
        <w:t xml:space="preserve"> changes, both in terms of how platforms operate and user awareness of their data-sharing practices, require a new ethical </w:t>
      </w:r>
      <w:r w:rsidR="00A23BA8">
        <w:t xml:space="preserve">approach </w:t>
      </w:r>
      <w:r w:rsidR="008D3399">
        <w:t>for this type of research</w:t>
      </w:r>
      <w:r w:rsidR="008D63FF">
        <w:t>.</w:t>
      </w:r>
    </w:p>
    <w:p w14:paraId="3A7CBE9D" w14:textId="77777777" w:rsidR="00652801" w:rsidRDefault="00652801" w:rsidP="00F22268">
      <w:pPr>
        <w:jc w:val="both"/>
        <w:rPr>
          <w:color w:val="000000"/>
        </w:rPr>
      </w:pPr>
    </w:p>
    <w:p w14:paraId="5EA965AC" w14:textId="77777777" w:rsidR="008D63FF" w:rsidRDefault="0016643A" w:rsidP="00F22268">
      <w:pPr>
        <w:jc w:val="both"/>
        <w:rPr>
          <w:color w:val="000000"/>
        </w:rPr>
      </w:pPr>
      <w:r>
        <w:rPr>
          <w:color w:val="000000"/>
        </w:rPr>
        <w:t>S</w:t>
      </w:r>
      <w:r w:rsidR="008D63FF">
        <w:rPr>
          <w:color w:val="000000"/>
        </w:rPr>
        <w:t>ousveillance</w:t>
      </w:r>
      <w:r>
        <w:rPr>
          <w:color w:val="000000"/>
        </w:rPr>
        <w:t xml:space="preserve"> and policing</w:t>
      </w:r>
    </w:p>
    <w:p w14:paraId="23AE731E" w14:textId="77777777" w:rsidR="008D63FF" w:rsidRDefault="008D63FF" w:rsidP="00F22268">
      <w:pPr>
        <w:jc w:val="both"/>
        <w:rPr>
          <w:color w:val="000000"/>
        </w:rPr>
      </w:pPr>
    </w:p>
    <w:p w14:paraId="7683147F" w14:textId="586A990E" w:rsidR="008D63FF" w:rsidRDefault="008D63FF" w:rsidP="00F22268">
      <w:pPr>
        <w:jc w:val="both"/>
        <w:rPr>
          <w:rFonts w:cs="Calibri"/>
          <w:color w:val="000000"/>
        </w:rPr>
      </w:pPr>
      <w:r w:rsidRPr="008D63FF">
        <w:rPr>
          <w:color w:val="000000"/>
        </w:rPr>
        <w:t xml:space="preserve">Sousveillance </w:t>
      </w:r>
      <w:r>
        <w:rPr>
          <w:color w:val="000000"/>
        </w:rPr>
        <w:t>is</w:t>
      </w:r>
      <w:r w:rsidRPr="008D63FF">
        <w:rPr>
          <w:color w:val="000000"/>
        </w:rPr>
        <w:t xml:space="preserve"> defined as a form of ‘inverse surveillance’ empowering citizens to collect data about those surveilling them. </w:t>
      </w:r>
      <w:r>
        <w:rPr>
          <w:color w:val="000000"/>
        </w:rPr>
        <w:t>Online platforms have been linked to an intensification of t</w:t>
      </w:r>
      <w:r w:rsidRPr="008D63FF">
        <w:rPr>
          <w:color w:val="000000"/>
        </w:rPr>
        <w:t xml:space="preserve">wo overlapping categories of sousveillance: </w:t>
      </w:r>
      <w:r w:rsidRPr="008D63FF">
        <w:rPr>
          <w:i/>
          <w:iCs/>
          <w:color w:val="000000"/>
        </w:rPr>
        <w:t>personal</w:t>
      </w:r>
      <w:r w:rsidRPr="008D63FF">
        <w:rPr>
          <w:color w:val="000000"/>
        </w:rPr>
        <w:t xml:space="preserve"> referred to “human-centred recording of personal experiences” while </w:t>
      </w:r>
      <w:r w:rsidRPr="008D63FF">
        <w:rPr>
          <w:i/>
          <w:iCs/>
          <w:color w:val="000000"/>
        </w:rPr>
        <w:t>hierarchical</w:t>
      </w:r>
      <w:r w:rsidRPr="008D63FF">
        <w:rPr>
          <w:color w:val="000000"/>
        </w:rPr>
        <w:t xml:space="preserve"> was a more purposive, political activity documenting the actions of authority figures such as the police (Mann, 2004:</w:t>
      </w:r>
      <w:r w:rsidR="0024756D">
        <w:rPr>
          <w:color w:val="000000"/>
        </w:rPr>
        <w:t>62</w:t>
      </w:r>
      <w:r w:rsidRPr="008D63FF">
        <w:rPr>
          <w:color w:val="000000"/>
        </w:rPr>
        <w:t xml:space="preserve">1). </w:t>
      </w:r>
      <w:r>
        <w:rPr>
          <w:color w:val="000000"/>
        </w:rPr>
        <w:t xml:space="preserve"> </w:t>
      </w:r>
      <w:r w:rsidRPr="008D63FF">
        <w:rPr>
          <w:color w:val="000000"/>
        </w:rPr>
        <w:t xml:space="preserve">The latter conveyed an ‘injunction to care’ </w:t>
      </w:r>
      <w:r>
        <w:rPr>
          <w:color w:val="000000"/>
        </w:rPr>
        <w:t>akin to</w:t>
      </w:r>
      <w:r w:rsidRPr="008D63FF">
        <w:rPr>
          <w:color w:val="000000"/>
        </w:rPr>
        <w:t xml:space="preserve"> media witnessing, the term used to describe how digital media not </w:t>
      </w:r>
      <w:r w:rsidRPr="008D63FF">
        <w:rPr>
          <w:color w:val="000000"/>
        </w:rPr>
        <w:lastRenderedPageBreak/>
        <w:t>only transforms the ability of individuals to ‘bear witness’ to events, but also to encourage others to engage with these representations (Allan, 2013).</w:t>
      </w:r>
      <w:r w:rsidR="0033485B">
        <w:rPr>
          <w:color w:val="000000"/>
        </w:rPr>
        <w:t xml:space="preserve"> They would </w:t>
      </w:r>
      <w:r w:rsidR="00F0115E">
        <w:rPr>
          <w:color w:val="000000"/>
        </w:rPr>
        <w:t xml:space="preserve">additionally </w:t>
      </w:r>
      <w:r w:rsidR="0033485B">
        <w:rPr>
          <w:color w:val="000000"/>
        </w:rPr>
        <w:t>be empowered by these technologies to collect data about how they were being surveilled (</w:t>
      </w:r>
      <w:r w:rsidR="0033485B" w:rsidRPr="0033485B">
        <w:rPr>
          <w:color w:val="000000"/>
        </w:rPr>
        <w:t>Mann, Nolan &amp; Wellman, 2003</w:t>
      </w:r>
      <w:r w:rsidR="0033485B">
        <w:rPr>
          <w:color w:val="000000"/>
        </w:rPr>
        <w:t>).</w:t>
      </w:r>
      <w:r w:rsidRPr="008D63FF">
        <w:rPr>
          <w:color w:val="000000"/>
        </w:rPr>
        <w:t xml:space="preserve"> The</w:t>
      </w:r>
      <w:r>
        <w:rPr>
          <w:color w:val="000000"/>
        </w:rPr>
        <w:t xml:space="preserve"> broad</w:t>
      </w:r>
      <w:r w:rsidRPr="008D63FF">
        <w:rPr>
          <w:color w:val="000000"/>
        </w:rPr>
        <w:t xml:space="preserve"> rationale for sousveillance was that </w:t>
      </w:r>
      <w:r>
        <w:rPr>
          <w:color w:val="000000"/>
        </w:rPr>
        <w:t xml:space="preserve">increasing the </w:t>
      </w:r>
      <w:r w:rsidRPr="008D63FF">
        <w:rPr>
          <w:color w:val="000000"/>
        </w:rPr>
        <w:t xml:space="preserve">visibility of authority figures </w:t>
      </w:r>
      <w:r w:rsidR="008666C1">
        <w:rPr>
          <w:color w:val="000000"/>
        </w:rPr>
        <w:t>made</w:t>
      </w:r>
      <w:r w:rsidR="004450BE">
        <w:rPr>
          <w:color w:val="000000"/>
        </w:rPr>
        <w:t xml:space="preserve"> them less likely to </w:t>
      </w:r>
      <w:r w:rsidRPr="008D63FF">
        <w:rPr>
          <w:color w:val="000000"/>
        </w:rPr>
        <w:t>abus</w:t>
      </w:r>
      <w:r w:rsidR="004450BE">
        <w:rPr>
          <w:color w:val="000000"/>
        </w:rPr>
        <w:t>e</w:t>
      </w:r>
      <w:r w:rsidRPr="008D63FF">
        <w:rPr>
          <w:color w:val="000000"/>
        </w:rPr>
        <w:t xml:space="preserve"> their power. </w:t>
      </w:r>
      <w:r w:rsidR="004450BE">
        <w:rPr>
          <w:color w:val="000000"/>
        </w:rPr>
        <w:t>For example</w:t>
      </w:r>
      <w:r w:rsidRPr="008D63FF">
        <w:rPr>
          <w:color w:val="000000"/>
        </w:rPr>
        <w:t>,</w:t>
      </w:r>
      <w:r>
        <w:rPr>
          <w:color w:val="000000"/>
        </w:rPr>
        <w:t xml:space="preserve"> this would create</w:t>
      </w:r>
      <w:r w:rsidRPr="008D63FF">
        <w:rPr>
          <w:color w:val="000000"/>
        </w:rPr>
        <w:t xml:space="preserve"> a proleptical environment where police officers </w:t>
      </w:r>
      <w:r>
        <w:rPr>
          <w:color w:val="000000"/>
        </w:rPr>
        <w:t>became</w:t>
      </w:r>
      <w:r w:rsidRPr="008D63FF">
        <w:rPr>
          <w:color w:val="000000"/>
        </w:rPr>
        <w:t xml:space="preserve"> self-discipling subjects due to the possibility that their actions might be recorded at any time (Singh, 2017). </w:t>
      </w:r>
      <w:r w:rsidR="0024756D" w:rsidRPr="00BA7A7C">
        <w:rPr>
          <w:rFonts w:cs="Calibri"/>
          <w:color w:val="000000"/>
        </w:rPr>
        <w:t xml:space="preserve">The efficacy of sousveillance </w:t>
      </w:r>
      <w:r w:rsidR="0024756D">
        <w:rPr>
          <w:rFonts w:cs="Calibri"/>
          <w:color w:val="000000"/>
        </w:rPr>
        <w:t xml:space="preserve">would </w:t>
      </w:r>
      <w:r w:rsidR="0024756D" w:rsidRPr="00BA7A7C">
        <w:rPr>
          <w:rFonts w:cs="Calibri"/>
          <w:color w:val="000000"/>
        </w:rPr>
        <w:t>ultimately depend upon the size of the network through which it is distributed, as well as the pervasiveness of hegemonic narratives on the legitimacy of the state and the police (Mann and Ferenbok, 2013).</w:t>
      </w:r>
      <w:r w:rsidR="0024756D">
        <w:rPr>
          <w:rFonts w:cs="Calibri"/>
          <w:color w:val="000000"/>
        </w:rPr>
        <w:t xml:space="preserve"> </w:t>
      </w:r>
      <w:r w:rsidR="00AA30C7">
        <w:rPr>
          <w:color w:val="000000"/>
        </w:rPr>
        <w:t xml:space="preserve">YouTube, the focus of this chapter, </w:t>
      </w:r>
      <w:r w:rsidR="00A06C31">
        <w:rPr>
          <w:color w:val="000000"/>
        </w:rPr>
        <w:t xml:space="preserve">has </w:t>
      </w:r>
      <w:r w:rsidR="00AA30C7">
        <w:rPr>
          <w:color w:val="000000"/>
        </w:rPr>
        <w:t>emerged as a key repository of citizen perspectives on the actions of authority figures (Burgess and Green, 2018).</w:t>
      </w:r>
      <w:r w:rsidR="0024756D">
        <w:rPr>
          <w:color w:val="000000"/>
        </w:rPr>
        <w:t xml:space="preserve"> </w:t>
      </w:r>
    </w:p>
    <w:p w14:paraId="1DB63ABC" w14:textId="77777777" w:rsidR="0024756D" w:rsidRPr="008D63FF" w:rsidRDefault="0024756D" w:rsidP="00F22268">
      <w:pPr>
        <w:jc w:val="both"/>
        <w:rPr>
          <w:color w:val="000000"/>
        </w:rPr>
      </w:pPr>
    </w:p>
    <w:p w14:paraId="72F7F5AB" w14:textId="5AE5BE69" w:rsidR="008D63FF" w:rsidRPr="008D63FF" w:rsidRDefault="004450BE" w:rsidP="00F22268">
      <w:pPr>
        <w:jc w:val="both"/>
        <w:rPr>
          <w:color w:val="000000"/>
        </w:rPr>
      </w:pPr>
      <w:r>
        <w:rPr>
          <w:color w:val="000000"/>
        </w:rPr>
        <w:t xml:space="preserve">The evidence to date suggests that social media sousveillance has </w:t>
      </w:r>
      <w:r w:rsidR="005C05D9">
        <w:rPr>
          <w:color w:val="000000"/>
        </w:rPr>
        <w:t>h</w:t>
      </w:r>
      <w:r>
        <w:rPr>
          <w:color w:val="000000"/>
        </w:rPr>
        <w:t xml:space="preserve">ad little impact on the number of incidents of police brutality. In the United States, for example, the Black Lives Matter (BLM) </w:t>
      </w:r>
      <w:r w:rsidR="002C6CF5">
        <w:rPr>
          <w:color w:val="000000"/>
        </w:rPr>
        <w:t xml:space="preserve">movement </w:t>
      </w:r>
      <w:r>
        <w:rPr>
          <w:color w:val="000000"/>
        </w:rPr>
        <w:t xml:space="preserve">placed distressing video footage of unarmed African-Americans being killed by police officers at the heart of its campaign to address racial injustice. From 2013 onwards, names such as Michael Brown, Eric Garner and George Floyd have </w:t>
      </w:r>
      <w:r w:rsidR="005C05D9">
        <w:rPr>
          <w:color w:val="000000"/>
        </w:rPr>
        <w:t>circulated on</w:t>
      </w:r>
      <w:r>
        <w:rPr>
          <w:color w:val="000000"/>
        </w:rPr>
        <w:t xml:space="preserve"> platforms like Facebook, Twitter/X and YouTube, </w:t>
      </w:r>
      <w:r w:rsidR="005C05D9">
        <w:rPr>
          <w:color w:val="000000"/>
        </w:rPr>
        <w:t>the eponymous hashtags focussing attention on</w:t>
      </w:r>
      <w:r>
        <w:rPr>
          <w:color w:val="000000"/>
        </w:rPr>
        <w:t xml:space="preserve"> </w:t>
      </w:r>
      <w:r w:rsidR="005C05D9">
        <w:rPr>
          <w:color w:val="000000"/>
        </w:rPr>
        <w:t>the police officers responsible for their killings</w:t>
      </w:r>
      <w:r w:rsidR="00A553D0">
        <w:rPr>
          <w:color w:val="000000"/>
        </w:rPr>
        <w:t xml:space="preserve"> (</w:t>
      </w:r>
      <w:r w:rsidR="00A553D0" w:rsidRPr="00BE78F0">
        <w:rPr>
          <w:rFonts w:ascii="Arial" w:eastAsia="Times New Roman" w:hAnsi="Arial" w:cs="Arial"/>
          <w:color w:val="000000"/>
          <w:sz w:val="22"/>
          <w:szCs w:val="22"/>
        </w:rPr>
        <w:t>Fischer</w:t>
      </w:r>
      <w:r w:rsidR="00A553D0">
        <w:rPr>
          <w:rFonts w:ascii="Arial" w:eastAsia="Times New Roman" w:hAnsi="Arial" w:cs="Arial"/>
          <w:color w:val="000000"/>
          <w:sz w:val="22"/>
          <w:szCs w:val="22"/>
        </w:rPr>
        <w:t xml:space="preserve"> </w:t>
      </w:r>
      <w:r w:rsidR="00A553D0" w:rsidRPr="00BE78F0">
        <w:rPr>
          <w:rFonts w:ascii="Arial" w:eastAsia="Times New Roman" w:hAnsi="Arial" w:cs="Arial"/>
          <w:color w:val="000000"/>
          <w:sz w:val="22"/>
          <w:szCs w:val="22"/>
        </w:rPr>
        <w:t>and Mohrman</w:t>
      </w:r>
      <w:r w:rsidR="00A553D0">
        <w:rPr>
          <w:rFonts w:ascii="Arial" w:eastAsia="Times New Roman" w:hAnsi="Arial" w:cs="Arial"/>
          <w:color w:val="000000"/>
          <w:sz w:val="22"/>
          <w:szCs w:val="22"/>
        </w:rPr>
        <w:t xml:space="preserve">, </w:t>
      </w:r>
      <w:r w:rsidR="00A553D0" w:rsidRPr="00BE78F0">
        <w:rPr>
          <w:rFonts w:ascii="Arial" w:eastAsia="Times New Roman" w:hAnsi="Arial" w:cs="Arial"/>
          <w:color w:val="000000"/>
          <w:sz w:val="22"/>
          <w:szCs w:val="22"/>
        </w:rPr>
        <w:t>2016</w:t>
      </w:r>
      <w:r w:rsidR="00A553D0">
        <w:rPr>
          <w:rFonts w:ascii="Arial" w:eastAsia="Times New Roman" w:hAnsi="Arial" w:cs="Arial"/>
          <w:color w:val="000000"/>
          <w:sz w:val="22"/>
          <w:szCs w:val="22"/>
        </w:rPr>
        <w:t xml:space="preserve">; </w:t>
      </w:r>
      <w:r w:rsidR="00A553D0" w:rsidRPr="00A553D0">
        <w:rPr>
          <w:rFonts w:ascii="Arial" w:eastAsia="Times New Roman" w:hAnsi="Arial" w:cs="Arial"/>
          <w:color w:val="000000"/>
          <w:sz w:val="22"/>
          <w:szCs w:val="22"/>
        </w:rPr>
        <w:t>Jackson, Bailey</w:t>
      </w:r>
      <w:r w:rsidR="00A553D0">
        <w:rPr>
          <w:rFonts w:ascii="Arial" w:eastAsia="Times New Roman" w:hAnsi="Arial" w:cs="Arial"/>
          <w:color w:val="000000"/>
          <w:sz w:val="22"/>
          <w:szCs w:val="22"/>
        </w:rPr>
        <w:t>,</w:t>
      </w:r>
      <w:r w:rsidR="00A553D0" w:rsidRPr="00A553D0">
        <w:rPr>
          <w:rFonts w:ascii="Arial" w:eastAsia="Times New Roman" w:hAnsi="Arial" w:cs="Arial"/>
          <w:color w:val="000000"/>
          <w:sz w:val="22"/>
          <w:szCs w:val="22"/>
        </w:rPr>
        <w:t xml:space="preserve"> </w:t>
      </w:r>
      <w:r w:rsidR="002C6CF5" w:rsidRPr="00A553D0">
        <w:rPr>
          <w:rFonts w:ascii="Arial" w:eastAsia="Times New Roman" w:hAnsi="Arial" w:cs="Arial"/>
          <w:color w:val="000000"/>
          <w:sz w:val="22"/>
          <w:szCs w:val="22"/>
        </w:rPr>
        <w:t>Foucault</w:t>
      </w:r>
      <w:r w:rsidR="002C6CF5">
        <w:rPr>
          <w:rFonts w:ascii="Arial" w:eastAsia="Times New Roman" w:hAnsi="Arial" w:cs="Arial"/>
          <w:color w:val="000000"/>
          <w:sz w:val="22"/>
          <w:szCs w:val="22"/>
        </w:rPr>
        <w:t>-</w:t>
      </w:r>
      <w:r w:rsidR="00A553D0" w:rsidRPr="00A553D0">
        <w:rPr>
          <w:rFonts w:ascii="Arial" w:eastAsia="Times New Roman" w:hAnsi="Arial" w:cs="Arial"/>
          <w:color w:val="000000"/>
          <w:sz w:val="22"/>
          <w:szCs w:val="22"/>
        </w:rPr>
        <w:t>Welles</w:t>
      </w:r>
      <w:r w:rsidR="00A553D0">
        <w:rPr>
          <w:rFonts w:ascii="Arial" w:eastAsia="Times New Roman" w:hAnsi="Arial" w:cs="Arial"/>
          <w:color w:val="000000"/>
          <w:sz w:val="22"/>
          <w:szCs w:val="22"/>
        </w:rPr>
        <w:t>, 2020</w:t>
      </w:r>
      <w:r w:rsidR="00A553D0" w:rsidRPr="00BE78F0">
        <w:rPr>
          <w:rFonts w:ascii="Arial" w:eastAsia="Times New Roman" w:hAnsi="Arial" w:cs="Arial"/>
          <w:color w:val="000000"/>
          <w:sz w:val="22"/>
          <w:szCs w:val="22"/>
        </w:rPr>
        <w:t>)</w:t>
      </w:r>
      <w:r>
        <w:rPr>
          <w:color w:val="000000"/>
        </w:rPr>
        <w:t>. While there is little sign that policing of Black communities has become more self-disciplining, researcher</w:t>
      </w:r>
      <w:r w:rsidR="004D1A0D">
        <w:rPr>
          <w:color w:val="000000"/>
        </w:rPr>
        <w:t>s argue that BLM’s activism led to US conservatives recognising these killings were unjust for the first time (</w:t>
      </w:r>
      <w:r w:rsidR="004D1A0D" w:rsidRPr="004D1A0D">
        <w:rPr>
          <w:color w:val="000000"/>
        </w:rPr>
        <w:t>Freelon, McIlwain and Clark, 2016, p. 79).</w:t>
      </w:r>
      <w:r w:rsidR="002C6CF5">
        <w:rPr>
          <w:color w:val="000000"/>
        </w:rPr>
        <w:t xml:space="preserve"> </w:t>
      </w:r>
      <w:r w:rsidR="008666C1">
        <w:rPr>
          <w:color w:val="000000"/>
        </w:rPr>
        <w:t>They</w:t>
      </w:r>
      <w:r w:rsidR="008D63FF" w:rsidRPr="008D63FF">
        <w:rPr>
          <w:color w:val="000000"/>
        </w:rPr>
        <w:t xml:space="preserve"> have</w:t>
      </w:r>
      <w:r w:rsidR="005C05D9">
        <w:rPr>
          <w:color w:val="000000"/>
        </w:rPr>
        <w:t xml:space="preserve"> also</w:t>
      </w:r>
      <w:r w:rsidR="008D63FF" w:rsidRPr="008D63FF">
        <w:rPr>
          <w:color w:val="000000"/>
        </w:rPr>
        <w:t xml:space="preserve"> been interwoven into broader narratives around racial injustice in the US. Richardson (2020) a</w:t>
      </w:r>
      <w:r w:rsidR="005C05D9">
        <w:rPr>
          <w:color w:val="000000"/>
        </w:rPr>
        <w:t>rgues</w:t>
      </w:r>
      <w:r w:rsidR="008D63FF" w:rsidRPr="008D63FF">
        <w:rPr>
          <w:color w:val="000000"/>
        </w:rPr>
        <w:t xml:space="preserve"> that African-Americans</w:t>
      </w:r>
      <w:r w:rsidR="005C05D9">
        <w:rPr>
          <w:color w:val="000000"/>
        </w:rPr>
        <w:t xml:space="preserve"> increasingly</w:t>
      </w:r>
      <w:r w:rsidR="008D63FF" w:rsidRPr="008D63FF">
        <w:rPr>
          <w:color w:val="000000"/>
        </w:rPr>
        <w:t xml:space="preserve"> feel </w:t>
      </w:r>
      <w:r w:rsidR="005C05D9">
        <w:rPr>
          <w:color w:val="000000"/>
        </w:rPr>
        <w:t>obligated</w:t>
      </w:r>
      <w:r w:rsidR="008D63FF" w:rsidRPr="008D63FF">
        <w:rPr>
          <w:color w:val="000000"/>
        </w:rPr>
        <w:t xml:space="preserve"> to record these incidents to highlight the lack of police accountability</w:t>
      </w:r>
      <w:r w:rsidR="005C05D9">
        <w:rPr>
          <w:color w:val="000000"/>
        </w:rPr>
        <w:t xml:space="preserve"> </w:t>
      </w:r>
      <w:r w:rsidR="008D63FF" w:rsidRPr="008D63FF">
        <w:rPr>
          <w:color w:val="000000"/>
        </w:rPr>
        <w:t xml:space="preserve">and counter mainstream media narratives that mispresent their experiences of policing. </w:t>
      </w:r>
      <w:r w:rsidR="00A553D0">
        <w:rPr>
          <w:color w:val="000000"/>
        </w:rPr>
        <w:t>As I will discuss below, this also presents a series of ethical challenges to those studying the social media comments posted in response to such content.</w:t>
      </w:r>
    </w:p>
    <w:p w14:paraId="2D9883E1" w14:textId="77777777" w:rsidR="008D63FF" w:rsidRDefault="008D63FF" w:rsidP="00F22268">
      <w:pPr>
        <w:jc w:val="both"/>
        <w:rPr>
          <w:color w:val="000000"/>
        </w:rPr>
      </w:pPr>
    </w:p>
    <w:p w14:paraId="4F0811CC" w14:textId="77777777" w:rsidR="005C05D9" w:rsidRDefault="005C05D9" w:rsidP="00F22268">
      <w:pPr>
        <w:jc w:val="both"/>
        <w:rPr>
          <w:color w:val="000000"/>
        </w:rPr>
      </w:pPr>
    </w:p>
    <w:p w14:paraId="039FAEC2" w14:textId="77777777" w:rsidR="008D63FF" w:rsidRDefault="002F31FB" w:rsidP="00F22268">
      <w:pPr>
        <w:jc w:val="both"/>
        <w:rPr>
          <w:color w:val="000000"/>
        </w:rPr>
      </w:pPr>
      <w:r>
        <w:rPr>
          <w:color w:val="000000"/>
        </w:rPr>
        <w:t>‘</w:t>
      </w:r>
      <w:r w:rsidR="008D63FF">
        <w:rPr>
          <w:color w:val="000000"/>
        </w:rPr>
        <w:t>The Battle of Stokes Croft</w:t>
      </w:r>
      <w:r>
        <w:rPr>
          <w:color w:val="000000"/>
        </w:rPr>
        <w:t>’</w:t>
      </w:r>
    </w:p>
    <w:p w14:paraId="1FFFEE51" w14:textId="77777777" w:rsidR="008D63FF" w:rsidRDefault="008D63FF" w:rsidP="00F22268">
      <w:pPr>
        <w:jc w:val="both"/>
        <w:rPr>
          <w:color w:val="000000"/>
        </w:rPr>
      </w:pPr>
    </w:p>
    <w:p w14:paraId="386668DA" w14:textId="4F80F5F7" w:rsidR="00A553D0" w:rsidRDefault="00A553D0" w:rsidP="00F22268">
      <w:pPr>
        <w:jc w:val="both"/>
        <w:rPr>
          <w:color w:val="000000"/>
        </w:rPr>
      </w:pPr>
      <w:r>
        <w:rPr>
          <w:color w:val="000000"/>
        </w:rPr>
        <w:t>My first study of social media sousveillance focused on YouTube footage of the ‘Battle of Stokes Croft’ in</w:t>
      </w:r>
      <w:r w:rsidR="00FD713F">
        <w:rPr>
          <w:color w:val="000000"/>
        </w:rPr>
        <w:t xml:space="preserve"> Bristol, England</w:t>
      </w:r>
      <w:r>
        <w:rPr>
          <w:color w:val="000000"/>
        </w:rPr>
        <w:t xml:space="preserve">. </w:t>
      </w:r>
      <w:r w:rsidR="002F31FB">
        <w:rPr>
          <w:color w:val="000000"/>
        </w:rPr>
        <w:t>The UK national media framed the</w:t>
      </w:r>
      <w:r w:rsidR="00FD713F">
        <w:rPr>
          <w:color w:val="000000"/>
        </w:rPr>
        <w:t xml:space="preserve"> violen</w:t>
      </w:r>
      <w:r w:rsidR="002F31FB">
        <w:rPr>
          <w:color w:val="000000"/>
        </w:rPr>
        <w:t>t clashes</w:t>
      </w:r>
      <w:r w:rsidR="00FD713F">
        <w:rPr>
          <w:color w:val="000000"/>
        </w:rPr>
        <w:t xml:space="preserve"> between police and members of the p</w:t>
      </w:r>
      <w:r w:rsidR="002F31FB">
        <w:rPr>
          <w:color w:val="000000"/>
        </w:rPr>
        <w:t>ublic on 11 April 2011 as a manifestation of the local campaign against the opening of a Tesco supermarket in the area</w:t>
      </w:r>
      <w:r w:rsidR="0033485B">
        <w:rPr>
          <w:color w:val="000000"/>
        </w:rPr>
        <w:t xml:space="preserve"> (Dutta and Duff, 2011)</w:t>
      </w:r>
      <w:r w:rsidR="002F31FB">
        <w:rPr>
          <w:color w:val="000000"/>
        </w:rPr>
        <w:t>. In response, local residents turned to online platforms like YouTube to share User Generated Content (UGC) illustrating what they claimed was a ‘heavy handed policing operation’</w:t>
      </w:r>
      <w:r w:rsidR="00E14549">
        <w:rPr>
          <w:color w:val="000000"/>
        </w:rPr>
        <w:t xml:space="preserve"> (Reilly, 2015)</w:t>
      </w:r>
      <w:r w:rsidR="002F31FB">
        <w:rPr>
          <w:color w:val="000000"/>
        </w:rPr>
        <w:t xml:space="preserve">. They also challenged statements from the Avon and Somerset Constabulary alleging that residents of a nearby squat </w:t>
      </w:r>
      <w:r w:rsidR="00A06C31">
        <w:rPr>
          <w:color w:val="000000"/>
        </w:rPr>
        <w:t>were preparing</w:t>
      </w:r>
      <w:r w:rsidR="002F31FB">
        <w:rPr>
          <w:color w:val="000000"/>
        </w:rPr>
        <w:t xml:space="preserve"> petrol bombs to be thrown at the controversial store</w:t>
      </w:r>
      <w:r w:rsidR="00E14549">
        <w:rPr>
          <w:color w:val="000000"/>
        </w:rPr>
        <w:t xml:space="preserve"> (Hall, 2011)</w:t>
      </w:r>
      <w:r w:rsidR="002F31FB">
        <w:rPr>
          <w:color w:val="000000"/>
        </w:rPr>
        <w:t xml:space="preserve">. My project focused specifically on a corpus of YouTube videos (N=52) showing eyewitness perspectives on the riot, and the comments (N=1018) posted in response to these. </w:t>
      </w:r>
      <w:r w:rsidR="00B348FE">
        <w:rPr>
          <w:color w:val="000000"/>
        </w:rPr>
        <w:t xml:space="preserve">A qualitative thematic analysis, informed by the framework proposed by Braun and Clarke (2006), was conducted in order to assess audience responses to </w:t>
      </w:r>
      <w:r w:rsidR="002771C2">
        <w:rPr>
          <w:color w:val="000000"/>
        </w:rPr>
        <w:t>these videos</w:t>
      </w:r>
      <w:r w:rsidR="00B348FE">
        <w:rPr>
          <w:color w:val="000000"/>
        </w:rPr>
        <w:t>. Specifically, i</w:t>
      </w:r>
      <w:r w:rsidR="002F31FB">
        <w:rPr>
          <w:color w:val="000000"/>
        </w:rPr>
        <w:t xml:space="preserve">t focussed on the extent to which the commenters agreed that this footage was a form of </w:t>
      </w:r>
      <w:r w:rsidR="008E644E">
        <w:rPr>
          <w:color w:val="000000"/>
        </w:rPr>
        <w:t>hierarchical</w:t>
      </w:r>
      <w:r w:rsidR="002F31FB">
        <w:rPr>
          <w:color w:val="000000"/>
        </w:rPr>
        <w:t xml:space="preserve"> sousveillance, and whether they shared the view that the police had been heavy </w:t>
      </w:r>
      <w:r w:rsidR="002F31FB">
        <w:rPr>
          <w:color w:val="000000"/>
        </w:rPr>
        <w:lastRenderedPageBreak/>
        <w:t>handed in their interactions with the Stokes Croft residents.</w:t>
      </w:r>
      <w:r w:rsidR="00CE08EA">
        <w:rPr>
          <w:color w:val="000000"/>
        </w:rPr>
        <w:t xml:space="preserve"> </w:t>
      </w:r>
      <w:r w:rsidR="002F31FB">
        <w:rPr>
          <w:color w:val="000000"/>
        </w:rPr>
        <w:t xml:space="preserve">In order to investigate these issues, a qualitative thematic analysis of </w:t>
      </w:r>
      <w:r w:rsidR="00EA2227">
        <w:rPr>
          <w:color w:val="000000"/>
        </w:rPr>
        <w:t>the comments was undertaken</w:t>
      </w:r>
      <w:r w:rsidR="00695EB4">
        <w:rPr>
          <w:color w:val="000000"/>
        </w:rPr>
        <w:t xml:space="preserve"> in June 2011.</w:t>
      </w:r>
      <w:r w:rsidR="00F22268">
        <w:rPr>
          <w:color w:val="000000"/>
        </w:rPr>
        <w:t xml:space="preserve"> </w:t>
      </w:r>
      <w:r w:rsidR="00CE08EA">
        <w:rPr>
          <w:color w:val="000000"/>
        </w:rPr>
        <w:t xml:space="preserve">Criteria such as forcefulness, repetition and recurrence were used to help identify themes from the data (Orbe and Kinefuchi, 2008). </w:t>
      </w:r>
      <w:r w:rsidR="00F22268">
        <w:rPr>
          <w:color w:val="000000"/>
        </w:rPr>
        <w:t xml:space="preserve">Below I summarise the </w:t>
      </w:r>
      <w:r w:rsidR="00B348FE">
        <w:rPr>
          <w:color w:val="000000"/>
        </w:rPr>
        <w:t>ethical stance adopted during this research.</w:t>
      </w:r>
    </w:p>
    <w:p w14:paraId="4BD13B5A" w14:textId="77777777" w:rsidR="00A553D0" w:rsidRDefault="00A553D0" w:rsidP="00F22268">
      <w:pPr>
        <w:jc w:val="both"/>
        <w:rPr>
          <w:color w:val="000000"/>
        </w:rPr>
      </w:pPr>
    </w:p>
    <w:p w14:paraId="34DEC277" w14:textId="77777777" w:rsidR="008D63FF" w:rsidRDefault="008D63FF" w:rsidP="00F22268">
      <w:pPr>
        <w:jc w:val="both"/>
        <w:rPr>
          <w:color w:val="000000"/>
        </w:rPr>
      </w:pPr>
      <w:r>
        <w:rPr>
          <w:color w:val="000000"/>
        </w:rPr>
        <w:t>Human subject or text?</w:t>
      </w:r>
    </w:p>
    <w:p w14:paraId="60D70FBE" w14:textId="77777777" w:rsidR="00695EB4" w:rsidRDefault="00695EB4" w:rsidP="00F22268">
      <w:pPr>
        <w:jc w:val="both"/>
        <w:rPr>
          <w:color w:val="000000"/>
        </w:rPr>
      </w:pPr>
    </w:p>
    <w:p w14:paraId="3583D4ED" w14:textId="5560194F" w:rsidR="008D63FF" w:rsidRPr="0025401F" w:rsidRDefault="00695EB4" w:rsidP="00F22268">
      <w:pPr>
        <w:jc w:val="both"/>
        <w:rPr>
          <w:color w:val="000000"/>
        </w:rPr>
      </w:pPr>
      <w:r>
        <w:rPr>
          <w:color w:val="000000"/>
        </w:rPr>
        <w:t xml:space="preserve">The first ethical dilemma to be addressed </w:t>
      </w:r>
      <w:r w:rsidR="00CE72EF">
        <w:rPr>
          <w:color w:val="000000"/>
        </w:rPr>
        <w:t>was perhaps the</w:t>
      </w:r>
      <w:r w:rsidR="005001AD">
        <w:rPr>
          <w:color w:val="000000"/>
        </w:rPr>
        <w:t xml:space="preserve"> most</w:t>
      </w:r>
      <w:r w:rsidR="00CE72EF">
        <w:rPr>
          <w:color w:val="000000"/>
        </w:rPr>
        <w:t xml:space="preserve"> </w:t>
      </w:r>
      <w:r>
        <w:rPr>
          <w:color w:val="000000"/>
        </w:rPr>
        <w:t xml:space="preserve">straightforward </w:t>
      </w:r>
      <w:r w:rsidR="00CE72EF">
        <w:rPr>
          <w:color w:val="000000"/>
        </w:rPr>
        <w:t>one, namely w</w:t>
      </w:r>
      <w:r w:rsidR="005001AD">
        <w:rPr>
          <w:color w:val="000000"/>
        </w:rPr>
        <w:t>hether</w:t>
      </w:r>
      <w:r w:rsidR="00CE72EF">
        <w:rPr>
          <w:color w:val="000000"/>
        </w:rPr>
        <w:t xml:space="preserve"> these comments </w:t>
      </w:r>
      <w:r w:rsidR="005001AD">
        <w:rPr>
          <w:color w:val="000000"/>
        </w:rPr>
        <w:t xml:space="preserve">should </w:t>
      </w:r>
      <w:r w:rsidR="00CE72EF">
        <w:rPr>
          <w:color w:val="000000"/>
        </w:rPr>
        <w:t xml:space="preserve">be treated as published artefacts or the property of human participants. If it was the former, then there was no necessity to seek informed consent from individual commenters (Kozinets, 2010). </w:t>
      </w:r>
      <w:r w:rsidR="00AA30C7">
        <w:rPr>
          <w:color w:val="000000"/>
        </w:rPr>
        <w:t>Certainly</w:t>
      </w:r>
      <w:r w:rsidR="00120713">
        <w:rPr>
          <w:color w:val="000000"/>
        </w:rPr>
        <w:t>,</w:t>
      </w:r>
      <w:r w:rsidR="00AA30C7">
        <w:rPr>
          <w:color w:val="000000"/>
        </w:rPr>
        <w:t xml:space="preserve"> t</w:t>
      </w:r>
      <w:r w:rsidR="00CE72EF">
        <w:rPr>
          <w:color w:val="000000"/>
        </w:rPr>
        <w:t xml:space="preserve">he </w:t>
      </w:r>
      <w:r w:rsidR="00D571E7">
        <w:rPr>
          <w:color w:val="000000"/>
        </w:rPr>
        <w:t xml:space="preserve">fact that </w:t>
      </w:r>
      <w:r w:rsidR="00CC7C0A">
        <w:rPr>
          <w:color w:val="000000"/>
        </w:rPr>
        <w:t>the</w:t>
      </w:r>
      <w:r w:rsidR="00D571E7">
        <w:rPr>
          <w:color w:val="000000"/>
        </w:rPr>
        <w:t>se</w:t>
      </w:r>
      <w:r w:rsidR="00CC7C0A">
        <w:rPr>
          <w:color w:val="000000"/>
        </w:rPr>
        <w:t xml:space="preserve"> videos were fully public made it easier to justify using these comments without asking permission first. </w:t>
      </w:r>
      <w:r w:rsidR="00AA30C7">
        <w:rPr>
          <w:color w:val="000000"/>
        </w:rPr>
        <w:t xml:space="preserve"> </w:t>
      </w:r>
      <w:r w:rsidR="00AA30C7">
        <w:rPr>
          <w:rFonts w:ascii="Calibri" w:hAnsi="Calibri" w:cs="Calibri"/>
          <w:color w:val="333333"/>
          <w:shd w:val="clear" w:color="auto" w:fill="FFFFFF"/>
        </w:rPr>
        <w:t xml:space="preserve">The Terms of Service of YouTube (2012) at the time of the study made it clear that </w:t>
      </w:r>
      <w:r w:rsidR="00AA30C7" w:rsidRPr="00AA30C7">
        <w:rPr>
          <w:rFonts w:ascii="Calibri" w:hAnsi="Calibri" w:cs="Calibri"/>
          <w:color w:val="333333"/>
          <w:shd w:val="clear" w:color="auto" w:fill="FFFFFF"/>
        </w:rPr>
        <w:t>users should</w:t>
      </w:r>
      <w:r w:rsidR="00D571E7">
        <w:rPr>
          <w:rFonts w:ascii="Calibri" w:hAnsi="Calibri" w:cs="Calibri"/>
          <w:color w:val="333333"/>
          <w:shd w:val="clear" w:color="auto" w:fill="FFFFFF"/>
        </w:rPr>
        <w:t xml:space="preserve"> </w:t>
      </w:r>
      <w:r w:rsidR="00AA30C7" w:rsidRPr="00AA30C7">
        <w:rPr>
          <w:rFonts w:ascii="Calibri" w:hAnsi="Calibri" w:cs="Calibri"/>
          <w:color w:val="333333"/>
          <w:shd w:val="clear" w:color="auto" w:fill="FFFFFF"/>
        </w:rPr>
        <w:t xml:space="preserve">not expect </w:t>
      </w:r>
      <w:r w:rsidR="002771C2">
        <w:rPr>
          <w:rFonts w:ascii="Calibri" w:hAnsi="Calibri" w:cs="Calibri"/>
          <w:color w:val="333333"/>
          <w:shd w:val="clear" w:color="auto" w:fill="FFFFFF"/>
        </w:rPr>
        <w:t>“</w:t>
      </w:r>
      <w:r w:rsidR="00AA30C7" w:rsidRPr="00AA30C7">
        <w:rPr>
          <w:rFonts w:ascii="Calibri" w:hAnsi="Calibri" w:cs="Calibri"/>
          <w:color w:val="333333"/>
          <w:shd w:val="clear" w:color="auto" w:fill="FFFFFF"/>
        </w:rPr>
        <w:t>confidentiality with respect to any content</w:t>
      </w:r>
      <w:r w:rsidR="002771C2">
        <w:rPr>
          <w:rFonts w:ascii="Calibri" w:hAnsi="Calibri" w:cs="Calibri"/>
          <w:color w:val="333333"/>
          <w:shd w:val="clear" w:color="auto" w:fill="FFFFFF"/>
        </w:rPr>
        <w:t>”</w:t>
      </w:r>
      <w:r w:rsidR="00AA30C7">
        <w:rPr>
          <w:rFonts w:ascii="Calibri" w:hAnsi="Calibri" w:cs="Calibri"/>
          <w:color w:val="333333"/>
          <w:shd w:val="clear" w:color="auto" w:fill="FFFFFF"/>
        </w:rPr>
        <w:t xml:space="preserve">. </w:t>
      </w:r>
      <w:r w:rsidR="00AA30C7">
        <w:rPr>
          <w:color w:val="000000"/>
        </w:rPr>
        <w:t>Nevertheless</w:t>
      </w:r>
      <w:r w:rsidR="0025401F">
        <w:rPr>
          <w:color w:val="000000"/>
        </w:rPr>
        <w:t xml:space="preserve">, it was decided that the human </w:t>
      </w:r>
      <w:r w:rsidR="0025401F" w:rsidRPr="0025401F">
        <w:rPr>
          <w:color w:val="000000"/>
        </w:rPr>
        <w:t>subject perspective was the most appropriate framework for the study of YouTube</w:t>
      </w:r>
      <w:r w:rsidR="0025401F">
        <w:rPr>
          <w:color w:val="000000"/>
        </w:rPr>
        <w:t xml:space="preserve"> </w:t>
      </w:r>
      <w:r w:rsidR="0025401F" w:rsidRPr="0025401F">
        <w:rPr>
          <w:color w:val="000000"/>
        </w:rPr>
        <w:t>comments in this project. As per previous work on internet research ethics (Bowker</w:t>
      </w:r>
      <w:r w:rsidR="002E4E19">
        <w:rPr>
          <w:color w:val="000000"/>
        </w:rPr>
        <w:t xml:space="preserve"> </w:t>
      </w:r>
      <w:r w:rsidR="0025401F" w:rsidRPr="0025401F">
        <w:rPr>
          <w:color w:val="000000"/>
        </w:rPr>
        <w:t xml:space="preserve">and Tuffin, 2004; Eysenbach and Till, 2001; Nissenbaum, 2010;), </w:t>
      </w:r>
      <w:r w:rsidR="0025401F">
        <w:rPr>
          <w:color w:val="000000"/>
        </w:rPr>
        <w:t>it was anticipated that unaware participants might</w:t>
      </w:r>
      <w:r w:rsidR="0025401F" w:rsidRPr="0025401F">
        <w:rPr>
          <w:color w:val="000000"/>
        </w:rPr>
        <w:t xml:space="preserve"> be exposed through the use of their comments</w:t>
      </w:r>
      <w:r w:rsidR="0025401F">
        <w:rPr>
          <w:color w:val="000000"/>
        </w:rPr>
        <w:t xml:space="preserve"> without informed consent. For example, using</w:t>
      </w:r>
      <w:r w:rsidR="0025401F" w:rsidRPr="0025401F">
        <w:rPr>
          <w:color w:val="000000"/>
        </w:rPr>
        <w:t xml:space="preserve"> comments express</w:t>
      </w:r>
      <w:r w:rsidR="0025401F">
        <w:rPr>
          <w:color w:val="000000"/>
        </w:rPr>
        <w:t>ing</w:t>
      </w:r>
      <w:r w:rsidR="0025401F" w:rsidRPr="0025401F">
        <w:rPr>
          <w:color w:val="000000"/>
        </w:rPr>
        <w:t xml:space="preserve"> support for</w:t>
      </w:r>
      <w:r w:rsidR="0025401F">
        <w:rPr>
          <w:color w:val="000000"/>
        </w:rPr>
        <w:t xml:space="preserve"> </w:t>
      </w:r>
      <w:r w:rsidR="0025401F" w:rsidRPr="0025401F">
        <w:rPr>
          <w:color w:val="000000"/>
        </w:rPr>
        <w:t xml:space="preserve">the rioters might </w:t>
      </w:r>
      <w:r w:rsidR="00120713">
        <w:rPr>
          <w:color w:val="000000"/>
        </w:rPr>
        <w:t xml:space="preserve">subject </w:t>
      </w:r>
      <w:r w:rsidR="0025401F">
        <w:rPr>
          <w:color w:val="000000"/>
        </w:rPr>
        <w:t xml:space="preserve">their authors to reputational harm or abuse. Furthermore, this ethical stance was in line with the guidance provided by organisations like the Associations of internet Researchers at the time of the </w:t>
      </w:r>
      <w:r w:rsidR="0025401F" w:rsidRPr="006752B6">
        <w:rPr>
          <w:color w:val="000000" w:themeColor="text1"/>
        </w:rPr>
        <w:t>study</w:t>
      </w:r>
      <w:r w:rsidR="00CC7C0A" w:rsidRPr="006752B6">
        <w:rPr>
          <w:rFonts w:ascii="Calibri" w:hAnsi="Calibri" w:cs="Calibri"/>
          <w:color w:val="000000" w:themeColor="text1"/>
        </w:rPr>
        <w:t xml:space="preserve"> </w:t>
      </w:r>
      <w:r w:rsidR="00AA30C7" w:rsidRPr="006752B6">
        <w:rPr>
          <w:rFonts w:ascii="Calibri" w:hAnsi="Calibri" w:cs="Calibri"/>
          <w:color w:val="000000" w:themeColor="text1"/>
        </w:rPr>
        <w:t>(</w:t>
      </w:r>
      <w:r w:rsidR="00AA30C7" w:rsidRPr="006752B6">
        <w:rPr>
          <w:rFonts w:ascii="Calibri" w:hAnsi="Calibri" w:cs="Calibri"/>
          <w:color w:val="000000" w:themeColor="text1"/>
          <w:shd w:val="clear" w:color="auto" w:fill="FFFFFF"/>
        </w:rPr>
        <w:t xml:space="preserve">Markham, Buchanan, and AoIR Ethics Working Committee, 2012:4). </w:t>
      </w:r>
    </w:p>
    <w:p w14:paraId="1D8C46F7" w14:textId="77777777" w:rsidR="008D63FF" w:rsidRDefault="008D63FF" w:rsidP="00F22268">
      <w:pPr>
        <w:jc w:val="both"/>
        <w:rPr>
          <w:color w:val="000000"/>
        </w:rPr>
      </w:pPr>
    </w:p>
    <w:p w14:paraId="298B346B" w14:textId="77777777" w:rsidR="008D63FF" w:rsidRDefault="008D63FF" w:rsidP="00F22268">
      <w:pPr>
        <w:jc w:val="both"/>
        <w:rPr>
          <w:color w:val="000000"/>
        </w:rPr>
      </w:pPr>
      <w:r>
        <w:rPr>
          <w:color w:val="000000"/>
        </w:rPr>
        <w:t>To quote or not to quote</w:t>
      </w:r>
      <w:r w:rsidR="0025401F">
        <w:rPr>
          <w:color w:val="000000"/>
        </w:rPr>
        <w:t>?</w:t>
      </w:r>
    </w:p>
    <w:p w14:paraId="5C66B9AC" w14:textId="77777777" w:rsidR="008D63FF" w:rsidRDefault="008D63FF" w:rsidP="00F22268">
      <w:pPr>
        <w:jc w:val="both"/>
        <w:rPr>
          <w:color w:val="000000"/>
        </w:rPr>
      </w:pPr>
    </w:p>
    <w:p w14:paraId="6BEDDC4A" w14:textId="7F9302D6" w:rsidR="00B31EF7" w:rsidRDefault="0025401F" w:rsidP="00F22268">
      <w:pPr>
        <w:jc w:val="both"/>
        <w:rPr>
          <w:color w:val="000000"/>
        </w:rPr>
      </w:pPr>
      <w:r>
        <w:rPr>
          <w:color w:val="000000"/>
        </w:rPr>
        <w:t>Perhaps the most complex ethical issue was how best to represent the themes in the dataset</w:t>
      </w:r>
      <w:r w:rsidR="001F217F">
        <w:rPr>
          <w:color w:val="000000"/>
        </w:rPr>
        <w:t xml:space="preserve"> given that informed consent had not been sought from these unaware participants</w:t>
      </w:r>
      <w:r>
        <w:rPr>
          <w:color w:val="000000"/>
        </w:rPr>
        <w:t xml:space="preserve">. </w:t>
      </w:r>
      <w:r w:rsidR="00A06C31">
        <w:rPr>
          <w:color w:val="000000"/>
        </w:rPr>
        <w:t xml:space="preserve">The perceived harm to </w:t>
      </w:r>
      <w:r w:rsidR="001F217F">
        <w:rPr>
          <w:color w:val="000000"/>
        </w:rPr>
        <w:t>commenters, including those using pseudonyms,</w:t>
      </w:r>
      <w:r w:rsidR="00A06C31">
        <w:rPr>
          <w:color w:val="000000"/>
        </w:rPr>
        <w:t xml:space="preserve"> meant that it was problematic to provide hyperlinks to the videos under analysis</w:t>
      </w:r>
      <w:r w:rsidR="001F217F">
        <w:rPr>
          <w:color w:val="000000"/>
        </w:rPr>
        <w:t>,</w:t>
      </w:r>
      <w:r w:rsidR="00A06C31">
        <w:rPr>
          <w:color w:val="000000"/>
        </w:rPr>
        <w:t xml:space="preserve"> </w:t>
      </w:r>
      <w:r w:rsidR="001F217F">
        <w:rPr>
          <w:color w:val="000000"/>
        </w:rPr>
        <w:t>or</w:t>
      </w:r>
      <w:r w:rsidR="00A06C31">
        <w:rPr>
          <w:color w:val="000000"/>
        </w:rPr>
        <w:t xml:space="preserve"> provide verbatim reproduction of comments and the accounts from which they were posted. </w:t>
      </w:r>
      <w:r w:rsidR="001F217F">
        <w:rPr>
          <w:color w:val="000000"/>
        </w:rPr>
        <w:t xml:space="preserve">The fabrication strategy, whereby multiple comments would be amalgamated to create composites that did not align directly with what individual users had said (Markham, 2012), was considered inappropriate given it would distort the voices of those who wished to express their anger at the policing operation and the way it had been framed by the news media. </w:t>
      </w:r>
      <w:r w:rsidR="00A06C31">
        <w:rPr>
          <w:color w:val="000000"/>
        </w:rPr>
        <w:t xml:space="preserve">The removal of Personally Identifiable Information (PII) such as usernames and biographical data was deemed the most effective way to mitigate these risks. While the titles of the videos were used to illustrate the discursive framing of the police actions against citizens, no hyperlinks were </w:t>
      </w:r>
      <w:r w:rsidR="005D4D84">
        <w:rPr>
          <w:color w:val="000000"/>
        </w:rPr>
        <w:t>given</w:t>
      </w:r>
      <w:r w:rsidR="00A06C31">
        <w:rPr>
          <w:color w:val="000000"/>
        </w:rPr>
        <w:t>. This was in effect a medium cloaked strategy (</w:t>
      </w:r>
      <w:r w:rsidR="001052A9">
        <w:rPr>
          <w:color w:val="000000"/>
        </w:rPr>
        <w:t xml:space="preserve">Kozinets, 2010), which </w:t>
      </w:r>
      <w:r w:rsidR="005D4D84">
        <w:rPr>
          <w:color w:val="000000"/>
        </w:rPr>
        <w:t xml:space="preserve">offered </w:t>
      </w:r>
      <w:r w:rsidR="001052A9">
        <w:rPr>
          <w:color w:val="000000"/>
        </w:rPr>
        <w:t>some protections for these unaware participants but did not necessarily seek to ‘please them’ by providing full anonymity for comments posted on a fully accessible social media site. An additional factor was the research design itself.</w:t>
      </w:r>
      <w:r w:rsidR="00B31EF7">
        <w:rPr>
          <w:color w:val="000000"/>
        </w:rPr>
        <w:t xml:space="preserve"> This was a study of how sousveillance footage was interpreted in the comments section, not a study of who was commenting on these videos.</w:t>
      </w:r>
      <w:r w:rsidR="001052A9">
        <w:rPr>
          <w:color w:val="000000"/>
        </w:rPr>
        <w:t xml:space="preserve"> As I have argued elsewhere (</w:t>
      </w:r>
      <w:r w:rsidR="00036B28">
        <w:rPr>
          <w:color w:val="000000"/>
        </w:rPr>
        <w:t xml:space="preserve">see </w:t>
      </w:r>
      <w:r w:rsidR="001052A9">
        <w:rPr>
          <w:color w:val="000000"/>
        </w:rPr>
        <w:t>Reilly and Trevisan, 2016</w:t>
      </w:r>
      <w:r w:rsidR="00036B28">
        <w:rPr>
          <w:color w:val="000000"/>
        </w:rPr>
        <w:t xml:space="preserve"> for example</w:t>
      </w:r>
      <w:r w:rsidR="001052A9">
        <w:rPr>
          <w:color w:val="000000"/>
        </w:rPr>
        <w:t xml:space="preserve">), </w:t>
      </w:r>
      <w:r w:rsidR="00B31EF7">
        <w:rPr>
          <w:color w:val="000000"/>
        </w:rPr>
        <w:t>qualitative social media research often</w:t>
      </w:r>
      <w:r w:rsidR="001052A9">
        <w:rPr>
          <w:color w:val="000000"/>
        </w:rPr>
        <w:t xml:space="preserve"> </w:t>
      </w:r>
      <w:r w:rsidR="00B31EF7">
        <w:rPr>
          <w:color w:val="000000"/>
        </w:rPr>
        <w:t>focuses</w:t>
      </w:r>
      <w:r w:rsidR="001052A9">
        <w:rPr>
          <w:color w:val="000000"/>
        </w:rPr>
        <w:t xml:space="preserve"> on what</w:t>
      </w:r>
      <w:r w:rsidR="00B31EF7">
        <w:rPr>
          <w:color w:val="000000"/>
        </w:rPr>
        <w:t xml:space="preserve"> is</w:t>
      </w:r>
      <w:r w:rsidR="001052A9">
        <w:rPr>
          <w:color w:val="000000"/>
        </w:rPr>
        <w:t xml:space="preserve"> being </w:t>
      </w:r>
      <w:r w:rsidR="00B31EF7">
        <w:rPr>
          <w:color w:val="000000"/>
        </w:rPr>
        <w:t xml:space="preserve">said, rather than who is saying it. Therefore, it was not necessary to allow the </w:t>
      </w:r>
      <w:r w:rsidR="00E60E2B">
        <w:rPr>
          <w:color w:val="000000"/>
        </w:rPr>
        <w:t xml:space="preserve">simple </w:t>
      </w:r>
      <w:r w:rsidR="00B31EF7">
        <w:rPr>
          <w:color w:val="000000"/>
        </w:rPr>
        <w:t xml:space="preserve">(re)identification of commenters by using easily located text excerpts and their usernames. It should however be acknowledged that this approach meant </w:t>
      </w:r>
      <w:r w:rsidR="00B31EF7">
        <w:rPr>
          <w:color w:val="000000"/>
        </w:rPr>
        <w:lastRenderedPageBreak/>
        <w:t xml:space="preserve">that there was a </w:t>
      </w:r>
      <w:r w:rsidR="005D4D84">
        <w:rPr>
          <w:color w:val="000000"/>
        </w:rPr>
        <w:t>possibility</w:t>
      </w:r>
      <w:r w:rsidR="00576DCE">
        <w:rPr>
          <w:color w:val="000000"/>
        </w:rPr>
        <w:t xml:space="preserve"> that these participants could be identified through searches </w:t>
      </w:r>
      <w:commentRangeStart w:id="0"/>
      <w:r w:rsidR="00576DCE">
        <w:rPr>
          <w:color w:val="000000"/>
        </w:rPr>
        <w:t xml:space="preserve">conducted </w:t>
      </w:r>
      <w:commentRangeEnd w:id="0"/>
      <w:r w:rsidR="000C5165">
        <w:rPr>
          <w:rStyle w:val="CommentReference"/>
        </w:rPr>
        <w:commentReference w:id="0"/>
      </w:r>
      <w:r w:rsidR="00576DCE">
        <w:rPr>
          <w:color w:val="000000"/>
        </w:rPr>
        <w:t>using the titles of the videos and an investigation of their comments sections.</w:t>
      </w:r>
    </w:p>
    <w:p w14:paraId="1F28F6CD" w14:textId="77777777" w:rsidR="00576DCE" w:rsidRDefault="00576DCE" w:rsidP="00F22268">
      <w:pPr>
        <w:jc w:val="both"/>
        <w:rPr>
          <w:color w:val="000000"/>
        </w:rPr>
      </w:pPr>
    </w:p>
    <w:p w14:paraId="0190C9F4" w14:textId="77777777" w:rsidR="008D63FF" w:rsidRDefault="008D63FF" w:rsidP="00F22268">
      <w:pPr>
        <w:jc w:val="both"/>
        <w:rPr>
          <w:color w:val="000000"/>
        </w:rPr>
      </w:pPr>
      <w:r>
        <w:rPr>
          <w:color w:val="000000"/>
        </w:rPr>
        <w:t>W</w:t>
      </w:r>
      <w:r w:rsidR="00576DCE">
        <w:rPr>
          <w:color w:val="000000"/>
        </w:rPr>
        <w:t xml:space="preserve">ould such a </w:t>
      </w:r>
      <w:r w:rsidR="005D6020">
        <w:rPr>
          <w:color w:val="000000"/>
        </w:rPr>
        <w:t>‘</w:t>
      </w:r>
      <w:r w:rsidR="00576DCE">
        <w:rPr>
          <w:color w:val="000000"/>
        </w:rPr>
        <w:t>strict</w:t>
      </w:r>
      <w:r w:rsidR="005D6020">
        <w:rPr>
          <w:color w:val="000000"/>
        </w:rPr>
        <w:t>’</w:t>
      </w:r>
      <w:r w:rsidR="00576DCE">
        <w:rPr>
          <w:color w:val="000000"/>
        </w:rPr>
        <w:t xml:space="preserve"> ethical stance be necessary </w:t>
      </w:r>
      <w:r w:rsidR="009668C7">
        <w:rPr>
          <w:color w:val="000000"/>
        </w:rPr>
        <w:t>now</w:t>
      </w:r>
      <w:r w:rsidR="00576DCE">
        <w:rPr>
          <w:color w:val="000000"/>
        </w:rPr>
        <w:t>?</w:t>
      </w:r>
    </w:p>
    <w:p w14:paraId="2AA040F3" w14:textId="77777777" w:rsidR="008D63FF" w:rsidRDefault="008D63FF" w:rsidP="00F22268">
      <w:pPr>
        <w:jc w:val="both"/>
        <w:rPr>
          <w:color w:val="000000"/>
        </w:rPr>
      </w:pPr>
    </w:p>
    <w:p w14:paraId="60E883AB" w14:textId="19B83891" w:rsidR="00036B28" w:rsidRDefault="00576DCE" w:rsidP="00F22268">
      <w:pPr>
        <w:jc w:val="both"/>
        <w:rPr>
          <w:color w:val="000000"/>
        </w:rPr>
      </w:pPr>
      <w:r>
        <w:rPr>
          <w:color w:val="000000"/>
        </w:rPr>
        <w:t xml:space="preserve">When the academic articles based on this study were first published (Reilly, 2014: 2015), the ethical stance </w:t>
      </w:r>
      <w:r w:rsidR="006E50E5">
        <w:rPr>
          <w:color w:val="000000"/>
        </w:rPr>
        <w:t>could be characterised</w:t>
      </w:r>
      <w:r>
        <w:rPr>
          <w:color w:val="000000"/>
        </w:rPr>
        <w:t xml:space="preserve"> as being stricter than </w:t>
      </w:r>
      <w:r w:rsidR="000C5165">
        <w:rPr>
          <w:color w:val="000000"/>
        </w:rPr>
        <w:t xml:space="preserve">those </w:t>
      </w:r>
      <w:r w:rsidR="006E50E5">
        <w:rPr>
          <w:color w:val="000000"/>
        </w:rPr>
        <w:t>deployed during</w:t>
      </w:r>
      <w:r>
        <w:rPr>
          <w:color w:val="000000"/>
        </w:rPr>
        <w:t xml:space="preserve"> similar projects.</w:t>
      </w:r>
      <w:r w:rsidR="00B10D3B">
        <w:rPr>
          <w:color w:val="000000"/>
        </w:rPr>
        <w:t xml:space="preserve"> </w:t>
      </w:r>
      <w:r>
        <w:rPr>
          <w:color w:val="000000"/>
        </w:rPr>
        <w:t xml:space="preserve">In the rest of this chapter, I consider whether I would take a similar approach were I to </w:t>
      </w:r>
      <w:r w:rsidR="00C96041">
        <w:rPr>
          <w:color w:val="000000"/>
        </w:rPr>
        <w:t>repeat this study</w:t>
      </w:r>
      <w:r>
        <w:rPr>
          <w:color w:val="000000"/>
        </w:rPr>
        <w:t xml:space="preserve"> </w:t>
      </w:r>
      <w:r w:rsidR="009668C7">
        <w:rPr>
          <w:color w:val="000000"/>
        </w:rPr>
        <w:t>now</w:t>
      </w:r>
      <w:r>
        <w:rPr>
          <w:color w:val="000000"/>
        </w:rPr>
        <w:t xml:space="preserve">. </w:t>
      </w:r>
      <w:r w:rsidR="00036B28">
        <w:rPr>
          <w:color w:val="000000"/>
        </w:rPr>
        <w:t>Here I wish to d</w:t>
      </w:r>
      <w:r>
        <w:rPr>
          <w:color w:val="000000"/>
        </w:rPr>
        <w:t>raw on</w:t>
      </w:r>
      <w:r w:rsidR="005E3244">
        <w:rPr>
          <w:color w:val="000000"/>
        </w:rPr>
        <w:t xml:space="preserve"> </w:t>
      </w:r>
      <w:r w:rsidR="005A09DF">
        <w:rPr>
          <w:color w:val="000000"/>
        </w:rPr>
        <w:t xml:space="preserve">Whiteman’s (2012) proposed </w:t>
      </w:r>
      <w:r w:rsidR="005E3244">
        <w:rPr>
          <w:color w:val="000000"/>
        </w:rPr>
        <w:t>three</w:t>
      </w:r>
      <w:r>
        <w:rPr>
          <w:color w:val="000000"/>
        </w:rPr>
        <w:t xml:space="preserve"> domains (</w:t>
      </w:r>
      <w:r w:rsidR="00057686">
        <w:rPr>
          <w:color w:val="000000"/>
        </w:rPr>
        <w:t>Academy, R</w:t>
      </w:r>
      <w:r>
        <w:rPr>
          <w:color w:val="000000"/>
        </w:rPr>
        <w:t>esearche</w:t>
      </w:r>
      <w:r w:rsidR="00057686">
        <w:rPr>
          <w:color w:val="000000"/>
        </w:rPr>
        <w:t>d</w:t>
      </w:r>
      <w:r>
        <w:rPr>
          <w:color w:val="000000"/>
        </w:rPr>
        <w:t xml:space="preserve">, </w:t>
      </w:r>
      <w:r w:rsidR="00057686">
        <w:rPr>
          <w:color w:val="000000"/>
        </w:rPr>
        <w:t>R</w:t>
      </w:r>
      <w:r>
        <w:rPr>
          <w:color w:val="000000"/>
        </w:rPr>
        <w:t>esearche</w:t>
      </w:r>
      <w:r w:rsidR="00057686">
        <w:rPr>
          <w:color w:val="000000"/>
        </w:rPr>
        <w:t>r</w:t>
      </w:r>
      <w:r>
        <w:rPr>
          <w:color w:val="000000"/>
        </w:rPr>
        <w:t>)</w:t>
      </w:r>
      <w:r w:rsidR="00036B28">
        <w:rPr>
          <w:color w:val="000000"/>
        </w:rPr>
        <w:t xml:space="preserve"> for developing ethical stances</w:t>
      </w:r>
      <w:r w:rsidR="00057686">
        <w:rPr>
          <w:color w:val="000000"/>
        </w:rPr>
        <w:t>, who characterises ‘achieving’ ethics as a ‘messy’, context-specific activity</w:t>
      </w:r>
      <w:r w:rsidR="00036B28">
        <w:rPr>
          <w:color w:val="000000"/>
        </w:rPr>
        <w:t xml:space="preserve">. </w:t>
      </w:r>
      <w:r w:rsidR="00783F75">
        <w:rPr>
          <w:color w:val="000000"/>
        </w:rPr>
        <w:t>The fourth (Institution) is not discussed below due to the similarities in ethical review processes at both my previous institution and current one.  In both cases, this was considered human subject research that re</w:t>
      </w:r>
      <w:r w:rsidR="005E3244">
        <w:rPr>
          <w:color w:val="000000"/>
        </w:rPr>
        <w:t>quired ethical clearance before data could be collected and analysed</w:t>
      </w:r>
      <w:r w:rsidR="008666C1">
        <w:rPr>
          <w:color w:val="000000"/>
        </w:rPr>
        <w:t>.</w:t>
      </w:r>
    </w:p>
    <w:p w14:paraId="531010D9" w14:textId="77777777" w:rsidR="00036B28" w:rsidRDefault="00036B28" w:rsidP="00F22268">
      <w:pPr>
        <w:jc w:val="both"/>
        <w:rPr>
          <w:color w:val="000000"/>
        </w:rPr>
      </w:pPr>
    </w:p>
    <w:p w14:paraId="2A632F32" w14:textId="77777777" w:rsidR="00057686" w:rsidRDefault="00057686" w:rsidP="00F22268">
      <w:pPr>
        <w:jc w:val="both"/>
        <w:rPr>
          <w:color w:val="000000"/>
        </w:rPr>
      </w:pPr>
      <w:r>
        <w:rPr>
          <w:color w:val="000000"/>
        </w:rPr>
        <w:t>Ethics of the Academy</w:t>
      </w:r>
    </w:p>
    <w:p w14:paraId="3A166D40" w14:textId="77777777" w:rsidR="00057686" w:rsidRDefault="00057686" w:rsidP="00F22268">
      <w:pPr>
        <w:jc w:val="both"/>
        <w:rPr>
          <w:color w:val="000000"/>
        </w:rPr>
      </w:pPr>
    </w:p>
    <w:p w14:paraId="096A1329" w14:textId="2AF0ECC1" w:rsidR="0096477C" w:rsidRDefault="0096477C" w:rsidP="0096477C">
      <w:pPr>
        <w:jc w:val="both"/>
        <w:rPr>
          <w:color w:val="000000"/>
        </w:rPr>
      </w:pPr>
      <w:r>
        <w:rPr>
          <w:color w:val="000000"/>
        </w:rPr>
        <w:t>Certainly</w:t>
      </w:r>
      <w:r w:rsidR="005A09DF">
        <w:rPr>
          <w:color w:val="000000"/>
        </w:rPr>
        <w:t>,</w:t>
      </w:r>
      <w:r>
        <w:rPr>
          <w:color w:val="000000"/>
        </w:rPr>
        <w:t xml:space="preserve"> the ethical stance taken in 2011 </w:t>
      </w:r>
      <w:r w:rsidR="008666C1">
        <w:rPr>
          <w:color w:val="000000"/>
        </w:rPr>
        <w:t>aligned</w:t>
      </w:r>
      <w:r>
        <w:rPr>
          <w:color w:val="000000"/>
        </w:rPr>
        <w:t xml:space="preserve"> with the ethics of the Academy today. </w:t>
      </w:r>
      <w:r w:rsidR="00C36A3E">
        <w:rPr>
          <w:color w:val="000000"/>
        </w:rPr>
        <w:t xml:space="preserve">In the 14 years since my study there </w:t>
      </w:r>
      <w:r w:rsidR="005D6020">
        <w:rPr>
          <w:color w:val="000000"/>
        </w:rPr>
        <w:t xml:space="preserve">has been a proliferation of guidance documents from professional associations on how to conduct online research ethically. Guidelines provided by organisations such as the Association of </w:t>
      </w:r>
      <w:r w:rsidR="008666C1">
        <w:rPr>
          <w:color w:val="000000"/>
        </w:rPr>
        <w:t>I</w:t>
      </w:r>
      <w:r w:rsidR="00C36A3E">
        <w:rPr>
          <w:color w:val="000000"/>
        </w:rPr>
        <w:t xml:space="preserve">nternet </w:t>
      </w:r>
      <w:r w:rsidR="005D6020">
        <w:rPr>
          <w:color w:val="000000"/>
        </w:rPr>
        <w:t>Researchers (A</w:t>
      </w:r>
      <w:r w:rsidR="008666C1">
        <w:rPr>
          <w:color w:val="000000"/>
        </w:rPr>
        <w:t>oI</w:t>
      </w:r>
      <w:r w:rsidR="005D6020">
        <w:rPr>
          <w:color w:val="000000"/>
        </w:rPr>
        <w:t>R) and British Psychological Society (BPS) are now in their third and fourth iteration. While it is beyond the scope of this chapter to analyse their evolution in depth, these tend to reject the notion that publicly accessible comments are ‘fair game’ for researchers (King, 1996). For example, the BPS (2021) acknowledges that there is a degree of ambiguity “concerning whether these data are in the public domain” and urges researchers to consider user perceptions of publicness when deciding whether to seek valid consent from unaware participants. The most recent iteration of the AoIR guidelines also raises questions about whether direct quotation is necessary and urge researchers to consider the circumstances where participants might need to be protected through strategies like fabrication (franzke et al, 2020).  Therefore, m</w:t>
      </w:r>
      <w:r>
        <w:rPr>
          <w:color w:val="000000"/>
        </w:rPr>
        <w:t>y decision to paraphrase and to reject the ‘fair game’ defenc</w:t>
      </w:r>
      <w:r w:rsidR="005D6020">
        <w:rPr>
          <w:color w:val="000000"/>
        </w:rPr>
        <w:t>e</w:t>
      </w:r>
      <w:r>
        <w:rPr>
          <w:color w:val="000000"/>
        </w:rPr>
        <w:t xml:space="preserve"> was justifiable in circumstances where I was unable to seek valid consent from all who contributed to the comment threads being analysed. Furthermore, my focus on the discursive framing of the ‘anti-Tesco riot’ meant that it was not essential to use direct quotes and identify those accounts responsible for them. </w:t>
      </w:r>
      <w:r w:rsidR="004C71F5">
        <w:rPr>
          <w:color w:val="000000"/>
        </w:rPr>
        <w:t>If anything, the guidelines for online research appear clearer in 2024 than in 2011.</w:t>
      </w:r>
      <w:r w:rsidR="00686B7C">
        <w:rPr>
          <w:color w:val="000000"/>
        </w:rPr>
        <w:t xml:space="preserve"> </w:t>
      </w:r>
    </w:p>
    <w:p w14:paraId="456DB661" w14:textId="77777777" w:rsidR="00626396" w:rsidRDefault="00626396" w:rsidP="00F22268">
      <w:pPr>
        <w:jc w:val="both"/>
        <w:rPr>
          <w:color w:val="000000"/>
        </w:rPr>
      </w:pPr>
    </w:p>
    <w:p w14:paraId="1CFA80B5" w14:textId="77777777" w:rsidR="00057686" w:rsidRDefault="00057686" w:rsidP="00F22268">
      <w:pPr>
        <w:jc w:val="both"/>
        <w:rPr>
          <w:color w:val="000000"/>
        </w:rPr>
      </w:pPr>
      <w:r>
        <w:rPr>
          <w:color w:val="000000"/>
        </w:rPr>
        <w:t>Ethics of the Researched</w:t>
      </w:r>
    </w:p>
    <w:p w14:paraId="51284E95" w14:textId="77777777" w:rsidR="00057686" w:rsidRDefault="00057686" w:rsidP="00F22268">
      <w:pPr>
        <w:jc w:val="both"/>
        <w:rPr>
          <w:color w:val="000000"/>
        </w:rPr>
      </w:pPr>
    </w:p>
    <w:p w14:paraId="125B9820" w14:textId="4C63C32B" w:rsidR="00694D87" w:rsidRDefault="006F754F" w:rsidP="00F22268">
      <w:pPr>
        <w:jc w:val="both"/>
        <w:rPr>
          <w:color w:val="000000"/>
        </w:rPr>
      </w:pPr>
      <w:r>
        <w:rPr>
          <w:color w:val="000000"/>
        </w:rPr>
        <w:t>Whiteman (2012) highlights the importance of researchers taking into account the expectations and behaviours of those they stud</w:t>
      </w:r>
      <w:r w:rsidR="006752B6">
        <w:rPr>
          <w:color w:val="000000"/>
        </w:rPr>
        <w:t>y.</w:t>
      </w:r>
      <w:r w:rsidR="008F7CC3">
        <w:rPr>
          <w:color w:val="000000"/>
        </w:rPr>
        <w:t xml:space="preserve"> </w:t>
      </w:r>
      <w:r w:rsidR="00772DAA">
        <w:rPr>
          <w:color w:val="000000"/>
        </w:rPr>
        <w:t xml:space="preserve">In 2011 there </w:t>
      </w:r>
      <w:r w:rsidR="00694D87">
        <w:rPr>
          <w:color w:val="000000"/>
        </w:rPr>
        <w:t>was a dearth of data about social media users’ expectations of privacy. Scholars such as Nissenbaum posited that research</w:t>
      </w:r>
      <w:r w:rsidR="00F22268">
        <w:rPr>
          <w:color w:val="000000"/>
        </w:rPr>
        <w:t>ers should consider whether appropriate contextual norms were violated by the use of public social media comments in academic research.</w:t>
      </w:r>
      <w:r w:rsidR="00A0359B">
        <w:rPr>
          <w:color w:val="000000"/>
        </w:rPr>
        <w:t xml:space="preserve"> </w:t>
      </w:r>
      <w:r w:rsidR="00F22268">
        <w:rPr>
          <w:color w:val="000000"/>
        </w:rPr>
        <w:t xml:space="preserve">Subsequent empirical research has found that members of the public </w:t>
      </w:r>
      <w:r w:rsidR="00A0359B">
        <w:rPr>
          <w:color w:val="000000"/>
        </w:rPr>
        <w:t>are far from comfortable with the ‘fair game’ defence. For example, Fiesler and Proferes (2018) found that 28% of survey respondents were either very or somewhat uncomfortable with their tweets being used in research</w:t>
      </w:r>
      <w:r w:rsidR="00A4620B">
        <w:rPr>
          <w:color w:val="000000"/>
        </w:rPr>
        <w:t>, with a further 23.6% not sure about this practice.</w:t>
      </w:r>
      <w:r w:rsidR="00E42848">
        <w:rPr>
          <w:color w:val="000000"/>
        </w:rPr>
        <w:t xml:space="preserve"> </w:t>
      </w:r>
      <w:r w:rsidR="00B1609C">
        <w:rPr>
          <w:color w:val="000000"/>
        </w:rPr>
        <w:t>They also found</w:t>
      </w:r>
      <w:r w:rsidR="00E42848">
        <w:rPr>
          <w:color w:val="000000"/>
        </w:rPr>
        <w:t xml:space="preserve"> that the majority incorrectly believed that they </w:t>
      </w:r>
      <w:r w:rsidR="00E42848">
        <w:rPr>
          <w:color w:val="000000"/>
        </w:rPr>
        <w:lastRenderedPageBreak/>
        <w:t>should be asked permission for their tweets to be used by academic researchers. Furthermore, while more social media users appear to be aware of how their data are being shared by big tech companies</w:t>
      </w:r>
      <w:r w:rsidR="00B1609C">
        <w:rPr>
          <w:color w:val="000000"/>
        </w:rPr>
        <w:t xml:space="preserve"> (</w:t>
      </w:r>
      <w:r w:rsidR="00B1609C" w:rsidRPr="00B1609C">
        <w:rPr>
          <w:rFonts w:ascii="Arial" w:eastAsia="Times New Roman" w:hAnsi="Arial" w:cs="Arial"/>
          <w:color w:val="000000"/>
          <w:sz w:val="22"/>
          <w:szCs w:val="22"/>
        </w:rPr>
        <w:t>Drape</w:t>
      </w:r>
      <w:r w:rsidR="00B1609C">
        <w:rPr>
          <w:rFonts w:ascii="Arial" w:eastAsia="Times New Roman" w:hAnsi="Arial" w:cs="Arial"/>
          <w:color w:val="000000"/>
          <w:sz w:val="22"/>
          <w:szCs w:val="22"/>
        </w:rPr>
        <w:t>r</w:t>
      </w:r>
      <w:r w:rsidR="00B1609C" w:rsidRPr="00B1609C">
        <w:rPr>
          <w:rFonts w:ascii="Arial" w:eastAsia="Times New Roman" w:hAnsi="Arial" w:cs="Arial"/>
          <w:color w:val="000000"/>
          <w:sz w:val="22"/>
          <w:szCs w:val="22"/>
        </w:rPr>
        <w:t xml:space="preserve"> and Turow, 2019)</w:t>
      </w:r>
      <w:r w:rsidR="00E42848">
        <w:rPr>
          <w:color w:val="000000"/>
        </w:rPr>
        <w:t>, it should not be presumed that they have read and fully understood their terms and conditions (</w:t>
      </w:r>
      <w:r w:rsidR="00E42848" w:rsidRPr="00E42848">
        <w:rPr>
          <w:rFonts w:ascii="Arial" w:eastAsia="Times New Roman" w:hAnsi="Arial" w:cs="Arial"/>
          <w:color w:val="000000"/>
          <w:sz w:val="22"/>
          <w:szCs w:val="22"/>
        </w:rPr>
        <w:t>Williams, Burnap, and Sloan,</w:t>
      </w:r>
      <w:r w:rsidR="00E42848">
        <w:rPr>
          <w:rFonts w:ascii="Arial" w:eastAsia="Times New Roman" w:hAnsi="Arial" w:cs="Arial"/>
          <w:color w:val="000000"/>
          <w:sz w:val="22"/>
          <w:szCs w:val="22"/>
        </w:rPr>
        <w:t xml:space="preserve"> </w:t>
      </w:r>
      <w:r w:rsidR="00E42848" w:rsidRPr="00E42848">
        <w:rPr>
          <w:rFonts w:ascii="Arial" w:eastAsia="Times New Roman" w:hAnsi="Arial" w:cs="Arial"/>
          <w:color w:val="000000"/>
          <w:sz w:val="22"/>
          <w:szCs w:val="22"/>
        </w:rPr>
        <w:t>2017)</w:t>
      </w:r>
      <w:r w:rsidR="00E42848">
        <w:rPr>
          <w:rFonts w:ascii="Arial" w:eastAsia="Times New Roman" w:hAnsi="Arial" w:cs="Arial"/>
          <w:color w:val="000000"/>
          <w:sz w:val="22"/>
          <w:szCs w:val="22"/>
        </w:rPr>
        <w:t>.</w:t>
      </w:r>
      <w:r w:rsidR="00B1609C">
        <w:rPr>
          <w:rFonts w:ascii="Arial" w:eastAsia="Times New Roman" w:hAnsi="Arial" w:cs="Arial"/>
          <w:color w:val="000000"/>
          <w:sz w:val="22"/>
          <w:szCs w:val="22"/>
        </w:rPr>
        <w:t xml:space="preserve"> </w:t>
      </w:r>
    </w:p>
    <w:p w14:paraId="5EE7CFFA" w14:textId="77777777" w:rsidR="00694D87" w:rsidRDefault="00694D87" w:rsidP="00F22268">
      <w:pPr>
        <w:jc w:val="both"/>
        <w:rPr>
          <w:color w:val="000000"/>
        </w:rPr>
      </w:pPr>
    </w:p>
    <w:p w14:paraId="0DA8D5FE" w14:textId="3FE92EB3" w:rsidR="00B37E3D" w:rsidRDefault="00B1609C" w:rsidP="00F22268">
      <w:pPr>
        <w:jc w:val="both"/>
        <w:rPr>
          <w:color w:val="000000"/>
        </w:rPr>
      </w:pPr>
      <w:r>
        <w:rPr>
          <w:color w:val="000000"/>
        </w:rPr>
        <w:t>Here</w:t>
      </w:r>
      <w:r w:rsidR="00E55B08">
        <w:rPr>
          <w:color w:val="000000"/>
        </w:rPr>
        <w:t>,</w:t>
      </w:r>
      <w:r>
        <w:rPr>
          <w:color w:val="000000"/>
        </w:rPr>
        <w:t xml:space="preserve"> it might be argued</w:t>
      </w:r>
      <w:r w:rsidR="00E55B08">
        <w:rPr>
          <w:color w:val="000000"/>
        </w:rPr>
        <w:t>,</w:t>
      </w:r>
      <w:r>
        <w:rPr>
          <w:color w:val="000000"/>
        </w:rPr>
        <w:t xml:space="preserve"> lies the public interest defence of social media sousveillance research. The purpose of the Stokes Croft study was clearly justifiable as there was </w:t>
      </w:r>
      <w:r w:rsidR="00B37E3D">
        <w:rPr>
          <w:color w:val="000000"/>
        </w:rPr>
        <w:t>limited</w:t>
      </w:r>
      <w:r>
        <w:rPr>
          <w:color w:val="000000"/>
        </w:rPr>
        <w:t xml:space="preserve"> empirical data on how people responded to footage challenging media narratives on controversial police actions. </w:t>
      </w:r>
      <w:r w:rsidR="00B37E3D">
        <w:rPr>
          <w:color w:val="000000"/>
        </w:rPr>
        <w:t xml:space="preserve">The research focussed attention on the comments of those who felt that legacy media had reductively portrayed the April 2011 violence as an ‘anti-Tesco riot’. </w:t>
      </w:r>
      <w:r w:rsidR="00856F87">
        <w:rPr>
          <w:color w:val="000000"/>
        </w:rPr>
        <w:t xml:space="preserve">There was no hate speech </w:t>
      </w:r>
      <w:r w:rsidR="00E55B08">
        <w:rPr>
          <w:color w:val="000000"/>
        </w:rPr>
        <w:t xml:space="preserve">or </w:t>
      </w:r>
      <w:r w:rsidR="00856F87">
        <w:rPr>
          <w:color w:val="000000"/>
        </w:rPr>
        <w:t xml:space="preserve">threats of violence in the corpus (many comments had been deleted, suggesting some form of moderation had taken place), but that didn’t mean these comments could be used without any ethical consideration. </w:t>
      </w:r>
      <w:r>
        <w:rPr>
          <w:color w:val="000000"/>
        </w:rPr>
        <w:t xml:space="preserve">At the same time, many of </w:t>
      </w:r>
      <w:r w:rsidR="00856F87">
        <w:rPr>
          <w:color w:val="000000"/>
        </w:rPr>
        <w:t>those</w:t>
      </w:r>
      <w:r>
        <w:rPr>
          <w:color w:val="000000"/>
        </w:rPr>
        <w:t xml:space="preserve"> analysed were attributed to accounts using pseudonyms, making it virtually impossible to seek valid consent for their inclusion in the study.</w:t>
      </w:r>
      <w:r w:rsidR="003A1557">
        <w:rPr>
          <w:color w:val="000000"/>
        </w:rPr>
        <w:t xml:space="preserve"> As Fuchs (2018) argues, critical qualitative enquiry of such online phenomena does not necessarily require these usernames to be included; while highly motivated citizens may be able to find these accounts through online sleuthing, the researcher has discharged their ethical duty in not naming them. </w:t>
      </w:r>
      <w:r>
        <w:rPr>
          <w:color w:val="000000"/>
        </w:rPr>
        <w:t>This was the</w:t>
      </w:r>
      <w:r w:rsidR="00B37E3D">
        <w:rPr>
          <w:color w:val="000000"/>
        </w:rPr>
        <w:t xml:space="preserve"> original</w:t>
      </w:r>
      <w:r>
        <w:rPr>
          <w:color w:val="000000"/>
        </w:rPr>
        <w:t xml:space="preserve"> justification for the strict ethical stance taken, namely that the possibility of reidentification was reduced through paraphrasing of comments rather than directly quoting them.</w:t>
      </w:r>
      <w:r w:rsidR="00B37E3D">
        <w:rPr>
          <w:color w:val="000000"/>
        </w:rPr>
        <w:t xml:space="preserve"> If this work was to be replicated</w:t>
      </w:r>
      <w:r w:rsidR="001905F4">
        <w:rPr>
          <w:color w:val="000000"/>
        </w:rPr>
        <w:t xml:space="preserve"> in 2025,</w:t>
      </w:r>
      <w:r w:rsidR="00B37E3D">
        <w:rPr>
          <w:color w:val="000000"/>
        </w:rPr>
        <w:t xml:space="preserve"> </w:t>
      </w:r>
      <w:r w:rsidR="009668C7">
        <w:rPr>
          <w:color w:val="000000"/>
        </w:rPr>
        <w:t>at the time of writing,</w:t>
      </w:r>
      <w:r w:rsidR="00B37E3D">
        <w:rPr>
          <w:color w:val="000000"/>
        </w:rPr>
        <w:t xml:space="preserve"> there would still be a risk of reputational or physical harm to commenters should their contributions be easily identified.</w:t>
      </w:r>
      <w:r w:rsidR="00B62A51">
        <w:rPr>
          <w:color w:val="000000"/>
        </w:rPr>
        <w:t xml:space="preserve"> </w:t>
      </w:r>
      <w:r w:rsidR="00B37E3D">
        <w:rPr>
          <w:color w:val="000000"/>
        </w:rPr>
        <w:t xml:space="preserve">Moreover, in light of the aforementioned studies on user expectations of privacy, it would be misleading to suggest that paraphrasing </w:t>
      </w:r>
      <w:r w:rsidR="003308BA">
        <w:rPr>
          <w:color w:val="000000"/>
        </w:rPr>
        <w:t xml:space="preserve">comments was akin to ‘pleasing’ these users. </w:t>
      </w:r>
      <w:r w:rsidR="001905F4">
        <w:rPr>
          <w:color w:val="000000"/>
        </w:rPr>
        <w:t>Put simply, there was no public interest in exposing these unaware participants and holding them to account for what they had said</w:t>
      </w:r>
      <w:r w:rsidR="00856F87">
        <w:rPr>
          <w:color w:val="000000"/>
        </w:rPr>
        <w:t>.</w:t>
      </w:r>
    </w:p>
    <w:p w14:paraId="21262281" w14:textId="77777777" w:rsidR="00B37E3D" w:rsidRDefault="00B37E3D" w:rsidP="00F22268">
      <w:pPr>
        <w:jc w:val="both"/>
        <w:rPr>
          <w:color w:val="000000"/>
        </w:rPr>
      </w:pPr>
    </w:p>
    <w:p w14:paraId="4F066F4D" w14:textId="77777777" w:rsidR="00057686" w:rsidRDefault="00057686" w:rsidP="00F22268">
      <w:pPr>
        <w:jc w:val="both"/>
        <w:rPr>
          <w:color w:val="000000"/>
        </w:rPr>
      </w:pPr>
      <w:r>
        <w:rPr>
          <w:color w:val="000000"/>
        </w:rPr>
        <w:t>Ethics</w:t>
      </w:r>
      <w:r w:rsidR="00086D35">
        <w:rPr>
          <w:color w:val="000000"/>
        </w:rPr>
        <w:t xml:space="preserve"> and</w:t>
      </w:r>
      <w:r>
        <w:rPr>
          <w:color w:val="000000"/>
        </w:rPr>
        <w:t xml:space="preserve"> Researcher</w:t>
      </w:r>
      <w:r w:rsidR="00086D35">
        <w:rPr>
          <w:color w:val="000000"/>
        </w:rPr>
        <w:t xml:space="preserve"> Safety</w:t>
      </w:r>
    </w:p>
    <w:p w14:paraId="44E8BEE7" w14:textId="77777777" w:rsidR="00057686" w:rsidRDefault="00057686" w:rsidP="00F22268">
      <w:pPr>
        <w:jc w:val="both"/>
        <w:rPr>
          <w:color w:val="000000"/>
        </w:rPr>
      </w:pPr>
    </w:p>
    <w:p w14:paraId="2FF08D45" w14:textId="57A9F86E" w:rsidR="00B62A51" w:rsidRDefault="009668C7" w:rsidP="00F22268">
      <w:pPr>
        <w:jc w:val="both"/>
        <w:rPr>
          <w:color w:val="000000"/>
        </w:rPr>
      </w:pPr>
      <w:r>
        <w:rPr>
          <w:color w:val="000000"/>
        </w:rPr>
        <w:t xml:space="preserve">The subjective ethics of the researcher was conspicuously absent from much of the literature and guidelines </w:t>
      </w:r>
      <w:r w:rsidR="001905F4">
        <w:rPr>
          <w:color w:val="000000"/>
        </w:rPr>
        <w:t xml:space="preserve">I consulted </w:t>
      </w:r>
      <w:r>
        <w:rPr>
          <w:color w:val="000000"/>
        </w:rPr>
        <w:t xml:space="preserve">back in 2011. While there was a recognition that ‘off the shelf’ ethical </w:t>
      </w:r>
      <w:r w:rsidR="001905F4">
        <w:rPr>
          <w:color w:val="000000"/>
        </w:rPr>
        <w:t>approaches should be eschewed in favour of more localised stances, little was said about the “personal and professional baggage” that individual researchers draw on when constructing these (Whiteman, 2012: 38). Reflecting back now on my own experience of conducting this research</w:t>
      </w:r>
      <w:r w:rsidR="00783F75">
        <w:rPr>
          <w:color w:val="000000"/>
        </w:rPr>
        <w:t>, I didn’t perceive</w:t>
      </w:r>
      <w:r w:rsidR="00F64626">
        <w:rPr>
          <w:color w:val="000000"/>
        </w:rPr>
        <w:t xml:space="preserve"> my outsider status</w:t>
      </w:r>
      <w:r w:rsidR="00783F75">
        <w:rPr>
          <w:color w:val="000000"/>
        </w:rPr>
        <w:t xml:space="preserve"> as being particularly problematic. I believed </w:t>
      </w:r>
      <w:r w:rsidR="00F64626">
        <w:rPr>
          <w:color w:val="000000"/>
        </w:rPr>
        <w:t>it</w:t>
      </w:r>
      <w:r w:rsidR="00783F75">
        <w:rPr>
          <w:color w:val="000000"/>
        </w:rPr>
        <w:t xml:space="preserve"> </w:t>
      </w:r>
      <w:r w:rsidR="00F64626">
        <w:rPr>
          <w:color w:val="000000"/>
        </w:rPr>
        <w:t>might even be</w:t>
      </w:r>
      <w:r w:rsidR="00783F75">
        <w:rPr>
          <w:color w:val="000000"/>
        </w:rPr>
        <w:t xml:space="preserve"> </w:t>
      </w:r>
      <w:r w:rsidR="004C71F5">
        <w:rPr>
          <w:color w:val="000000"/>
        </w:rPr>
        <w:t xml:space="preserve">advantageous insofar as I </w:t>
      </w:r>
      <w:r w:rsidR="00F64626">
        <w:rPr>
          <w:color w:val="000000"/>
        </w:rPr>
        <w:t>could not be accused of distorting the representations in the corpus due to any prior</w:t>
      </w:r>
      <w:r w:rsidR="004C71F5">
        <w:rPr>
          <w:color w:val="000000"/>
        </w:rPr>
        <w:t xml:space="preserve"> allegiances or relationships</w:t>
      </w:r>
      <w:r w:rsidR="00F64626">
        <w:rPr>
          <w:color w:val="000000"/>
        </w:rPr>
        <w:t xml:space="preserve">. A member of the Stokes Croft community even emailed me a few months after the publication to express their disappointment at the fact I hadn’t interviewed them for the project. </w:t>
      </w:r>
      <w:r w:rsidR="00FC6A18">
        <w:rPr>
          <w:color w:val="000000"/>
        </w:rPr>
        <w:t xml:space="preserve">This was a very civil exchange, notable for the courteous </w:t>
      </w:r>
      <w:r w:rsidR="003B4F8F">
        <w:rPr>
          <w:color w:val="000000"/>
        </w:rPr>
        <w:t>way that this citizen engaged with the research</w:t>
      </w:r>
      <w:r w:rsidR="0070736F">
        <w:rPr>
          <w:color w:val="000000"/>
        </w:rPr>
        <w:t>,</w:t>
      </w:r>
      <w:r w:rsidR="003B4F8F">
        <w:rPr>
          <w:color w:val="000000"/>
        </w:rPr>
        <w:t xml:space="preserve"> and there was no ill-will when I explained how the research design purposefully focussed on the views of online commenters i.e. my interest was in whether those outside Stokes Croft</w:t>
      </w:r>
      <w:r w:rsidR="002771C2">
        <w:rPr>
          <w:color w:val="000000"/>
        </w:rPr>
        <w:t xml:space="preserve"> also</w:t>
      </w:r>
      <w:r w:rsidR="003B4F8F">
        <w:rPr>
          <w:color w:val="000000"/>
        </w:rPr>
        <w:t xml:space="preserve"> </w:t>
      </w:r>
      <w:r w:rsidR="002771C2">
        <w:rPr>
          <w:color w:val="000000"/>
        </w:rPr>
        <w:t>believed</w:t>
      </w:r>
      <w:r w:rsidR="003B4F8F">
        <w:rPr>
          <w:color w:val="000000"/>
        </w:rPr>
        <w:t xml:space="preserve"> the police had been heavy-handed. </w:t>
      </w:r>
    </w:p>
    <w:p w14:paraId="3A685261" w14:textId="77777777" w:rsidR="00B62A51" w:rsidRDefault="00B62A51" w:rsidP="00F22268">
      <w:pPr>
        <w:jc w:val="both"/>
        <w:rPr>
          <w:color w:val="000000"/>
        </w:rPr>
      </w:pPr>
    </w:p>
    <w:p w14:paraId="4F2D2390" w14:textId="24595A05" w:rsidR="00043692" w:rsidRDefault="003B4F8F" w:rsidP="00F22268">
      <w:pPr>
        <w:jc w:val="both"/>
        <w:rPr>
          <w:color w:val="000000"/>
        </w:rPr>
      </w:pPr>
      <w:r>
        <w:rPr>
          <w:color w:val="000000"/>
        </w:rPr>
        <w:t>Fast-forward 14 years and it seems more likely that the two articles published from this data would have higher visibility</w:t>
      </w:r>
      <w:r w:rsidR="00043692">
        <w:rPr>
          <w:color w:val="000000"/>
        </w:rPr>
        <w:t xml:space="preserve"> now</w:t>
      </w:r>
      <w:r>
        <w:rPr>
          <w:color w:val="000000"/>
        </w:rPr>
        <w:t xml:space="preserve"> than they did back in 2011.</w:t>
      </w:r>
      <w:r w:rsidR="00EF4EE9">
        <w:rPr>
          <w:color w:val="000000"/>
        </w:rPr>
        <w:t xml:space="preserve"> Like other researchers, I have </w:t>
      </w:r>
      <w:r w:rsidR="00EF4EE9">
        <w:rPr>
          <w:color w:val="000000"/>
        </w:rPr>
        <w:lastRenderedPageBreak/>
        <w:t>embraced online platforms like Twitter/X and Linkedin to publicise my research, network, and make my findings available to non-academic audiences (see Carrigan, 2019 for an overview). Participation in the UK’s Research Excellence Framework has also meant that my research since 2011 must be made available Open Access, whether in pre-print form or via OA journals.</w:t>
      </w:r>
      <w:r w:rsidR="00EF4EE9">
        <w:rPr>
          <w:rStyle w:val="EndnoteReference"/>
          <w:color w:val="000000"/>
        </w:rPr>
        <w:endnoteReference w:id="1"/>
      </w:r>
      <w:r w:rsidR="008F7CC3">
        <w:rPr>
          <w:color w:val="000000"/>
        </w:rPr>
        <w:t xml:space="preserve"> This increases not only the visibility of the research, but also its authors. </w:t>
      </w:r>
      <w:r>
        <w:rPr>
          <w:color w:val="000000"/>
        </w:rPr>
        <w:t>This raises a</w:t>
      </w:r>
      <w:r w:rsidR="00B62A51">
        <w:rPr>
          <w:color w:val="000000"/>
        </w:rPr>
        <w:t>n issue</w:t>
      </w:r>
      <w:r>
        <w:rPr>
          <w:color w:val="000000"/>
        </w:rPr>
        <w:t xml:space="preserve"> that I didn’t have to consider when conducting the research, namely how </w:t>
      </w:r>
      <w:r w:rsidR="00B62A51">
        <w:rPr>
          <w:color w:val="000000"/>
        </w:rPr>
        <w:t>to</w:t>
      </w:r>
      <w:r>
        <w:rPr>
          <w:color w:val="000000"/>
        </w:rPr>
        <w:t xml:space="preserve"> respond to social media users who were critical of the research, and in some cases, abusive. In recent years there has been increasing evidence of </w:t>
      </w:r>
      <w:r w:rsidR="00086D35">
        <w:rPr>
          <w:color w:val="000000"/>
        </w:rPr>
        <w:t>academics</w:t>
      </w:r>
      <w:r>
        <w:rPr>
          <w:color w:val="000000"/>
        </w:rPr>
        <w:t xml:space="preserve"> being </w:t>
      </w:r>
      <w:r w:rsidR="00746EEB">
        <w:rPr>
          <w:color w:val="000000"/>
        </w:rPr>
        <w:t>harassed on social media</w:t>
      </w:r>
      <w:r w:rsidR="00086D35">
        <w:rPr>
          <w:color w:val="000000"/>
        </w:rPr>
        <w:t xml:space="preserve">, with women and those from ethnic minority backgrounds most likely </w:t>
      </w:r>
      <w:r w:rsidR="008B547B">
        <w:rPr>
          <w:color w:val="000000"/>
        </w:rPr>
        <w:t xml:space="preserve">to </w:t>
      </w:r>
      <w:r w:rsidR="00086D35">
        <w:rPr>
          <w:color w:val="000000"/>
        </w:rPr>
        <w:t xml:space="preserve">be targeted (Oksanen et al, 2021; </w:t>
      </w:r>
      <w:r w:rsidR="00086D35" w:rsidRPr="00086D35">
        <w:rPr>
          <w:color w:val="000000"/>
        </w:rPr>
        <w:t>Veletsianos et al., 2018</w:t>
      </w:r>
      <w:r w:rsidR="00086D35">
        <w:rPr>
          <w:color w:val="000000"/>
        </w:rPr>
        <w:t xml:space="preserve">). </w:t>
      </w:r>
      <w:r w:rsidR="00043692">
        <w:rPr>
          <w:color w:val="000000"/>
        </w:rPr>
        <w:t>There has also been some evidence that members of the public are less likely to trust academics who express political views on their social media profiles, in some cases leading them to distrust their research findings (Alabrese, Capozza and Garg, 2024)</w:t>
      </w:r>
      <w:r w:rsidR="00086D35">
        <w:rPr>
          <w:color w:val="000000"/>
        </w:rPr>
        <w:t xml:space="preserve">. While context collapse has long been a challenge for researchers mixing personal and professional identities online, these trends have implications for </w:t>
      </w:r>
      <w:r w:rsidR="002B1A75">
        <w:rPr>
          <w:color w:val="000000"/>
        </w:rPr>
        <w:t>social media researchers studying contentious politics online. The civil discussion with a Stokes Croft resident via email in 2011 would seem the exception rather than the rule when it comes to how members of the public respond to academics and their work online. If I was to reproduce this study in 2025 I would most likely need to make my social media accounts private and avail of support from my institution should I receive any threats or abuse online.</w:t>
      </w:r>
    </w:p>
    <w:p w14:paraId="11BA1A5D" w14:textId="77777777" w:rsidR="00B62A51" w:rsidRDefault="00B62A51" w:rsidP="00F22268">
      <w:pPr>
        <w:jc w:val="both"/>
        <w:rPr>
          <w:color w:val="000000"/>
        </w:rPr>
      </w:pPr>
    </w:p>
    <w:p w14:paraId="2B922D77" w14:textId="77777777" w:rsidR="00652801" w:rsidRDefault="003B4F8F" w:rsidP="00F22268">
      <w:pPr>
        <w:jc w:val="both"/>
        <w:rPr>
          <w:color w:val="000000"/>
        </w:rPr>
      </w:pPr>
      <w:r>
        <w:rPr>
          <w:color w:val="000000"/>
        </w:rPr>
        <w:t xml:space="preserve"> </w:t>
      </w:r>
      <w:r w:rsidR="00652801">
        <w:rPr>
          <w:color w:val="000000"/>
        </w:rPr>
        <w:t>Conclu</w:t>
      </w:r>
      <w:r w:rsidR="002B1A75">
        <w:rPr>
          <w:color w:val="000000"/>
        </w:rPr>
        <w:t>ding Remarks</w:t>
      </w:r>
    </w:p>
    <w:p w14:paraId="21E6F33E" w14:textId="77777777" w:rsidR="00652801" w:rsidRDefault="00652801" w:rsidP="00F22268">
      <w:pPr>
        <w:jc w:val="both"/>
        <w:rPr>
          <w:color w:val="000000"/>
        </w:rPr>
      </w:pPr>
    </w:p>
    <w:p w14:paraId="340E502A" w14:textId="6B89A978" w:rsidR="00C02CAB" w:rsidRDefault="002B1A75" w:rsidP="00F22268">
      <w:pPr>
        <w:jc w:val="both"/>
        <w:rPr>
          <w:color w:val="000000"/>
        </w:rPr>
      </w:pPr>
      <w:r>
        <w:rPr>
          <w:color w:val="000000"/>
        </w:rPr>
        <w:t>Social media sousveillance is</w:t>
      </w:r>
      <w:r w:rsidR="008B547B">
        <w:rPr>
          <w:color w:val="000000"/>
        </w:rPr>
        <w:t>,</w:t>
      </w:r>
      <w:r>
        <w:rPr>
          <w:color w:val="000000"/>
        </w:rPr>
        <w:t xml:space="preserve"> by definition</w:t>
      </w:r>
      <w:r w:rsidR="008B547B">
        <w:rPr>
          <w:color w:val="000000"/>
        </w:rPr>
        <w:t>,</w:t>
      </w:r>
      <w:r>
        <w:rPr>
          <w:color w:val="000000"/>
        </w:rPr>
        <w:t xml:space="preserve"> a politically contentious topic and one that demands ethical reflection by researcher</w:t>
      </w:r>
      <w:r w:rsidR="00C02CAB">
        <w:rPr>
          <w:color w:val="000000"/>
        </w:rPr>
        <w:t>s</w:t>
      </w:r>
      <w:r>
        <w:rPr>
          <w:color w:val="000000"/>
        </w:rPr>
        <w:t xml:space="preserve"> and</w:t>
      </w:r>
      <w:r w:rsidR="00C02CAB">
        <w:rPr>
          <w:color w:val="000000"/>
        </w:rPr>
        <w:t xml:space="preserve"> oversight from</w:t>
      </w:r>
      <w:r>
        <w:rPr>
          <w:color w:val="000000"/>
        </w:rPr>
        <w:t xml:space="preserve"> their respective institutions. </w:t>
      </w:r>
      <w:r w:rsidR="003A1557">
        <w:rPr>
          <w:color w:val="000000"/>
        </w:rPr>
        <w:t xml:space="preserve">While online platforms like YouTube provide technically ‘public’ data showing citizen perspectives on ‘inverse surveillance’ footage of authority figures such as police officers, it should not be presumed that these comments are ‘fair game’ for researchers. Revisiting my ethical stance for the study of YouTube coverage of the ‘Battle of Stokes Croft’, what was once labelled a ‘strict’ or ‘conservative’ approach </w:t>
      </w:r>
      <w:r w:rsidR="00C02CAB">
        <w:rPr>
          <w:color w:val="000000"/>
        </w:rPr>
        <w:t>seems appropriate given developments in the intervening period. The decision not to name commenters</w:t>
      </w:r>
      <w:r w:rsidR="00DB3731">
        <w:rPr>
          <w:color w:val="000000"/>
        </w:rPr>
        <w:t>,</w:t>
      </w:r>
      <w:r w:rsidR="00C02CAB">
        <w:rPr>
          <w:color w:val="000000"/>
        </w:rPr>
        <w:t xml:space="preserve"> or provide quotes that might lead to their identification</w:t>
      </w:r>
      <w:r w:rsidR="00DB3731">
        <w:rPr>
          <w:color w:val="000000"/>
        </w:rPr>
        <w:t>,</w:t>
      </w:r>
      <w:r w:rsidR="00C02CAB">
        <w:rPr>
          <w:color w:val="000000"/>
        </w:rPr>
        <w:t xml:space="preserve"> remains congruent with the guidelines of professional associations like AoIR and BPS.</w:t>
      </w:r>
      <w:r w:rsidR="00DB3731">
        <w:rPr>
          <w:color w:val="000000"/>
        </w:rPr>
        <w:t xml:space="preserve"> While anonymity can never be</w:t>
      </w:r>
      <w:r w:rsidR="00F56159">
        <w:rPr>
          <w:color w:val="000000"/>
        </w:rPr>
        <w:t xml:space="preserve"> fully</w:t>
      </w:r>
      <w:r w:rsidR="00DB3731">
        <w:rPr>
          <w:color w:val="000000"/>
        </w:rPr>
        <w:t xml:space="preserve"> guaranteed in social media research, only highly motivated internet sleuths would be able to find these comments by </w:t>
      </w:r>
      <w:r w:rsidR="00F56159">
        <w:rPr>
          <w:color w:val="000000"/>
        </w:rPr>
        <w:t xml:space="preserve">searching for </w:t>
      </w:r>
      <w:r w:rsidR="00DB3731">
        <w:rPr>
          <w:color w:val="000000"/>
        </w:rPr>
        <w:t xml:space="preserve">the titles of the videos analysed. This reflects the empirical evidence on how citizens perceive academic research involving the collection of data from public social media sites. Audience studies continue to show that they expect to be asked permission for their social media posts to feature in academic outputs, which is rarely the approach taken in </w:t>
      </w:r>
      <w:r w:rsidR="00F90C52">
        <w:rPr>
          <w:color w:val="000000"/>
        </w:rPr>
        <w:t xml:space="preserve">such </w:t>
      </w:r>
      <w:r w:rsidR="00DB3731">
        <w:rPr>
          <w:color w:val="000000"/>
        </w:rPr>
        <w:t xml:space="preserve">empirical research. </w:t>
      </w:r>
      <w:r w:rsidR="00F56159">
        <w:rPr>
          <w:color w:val="000000"/>
        </w:rPr>
        <w:t xml:space="preserve">Therefore, if I was to replicate this study now I would still choose to offer unaware participants this level of cloaking, whilst naming and directly quoting any public figures that featured in the dataset. However, I wish to conclude on a more pessimistic note regarding </w:t>
      </w:r>
      <w:r w:rsidR="007302E3">
        <w:rPr>
          <w:color w:val="000000"/>
        </w:rPr>
        <w:t>the ‘baggage’ that researchers bring to the study of social media sousveillance</w:t>
      </w:r>
      <w:r w:rsidR="00F56159">
        <w:rPr>
          <w:color w:val="000000"/>
        </w:rPr>
        <w:t>. Perhaps the most noticeable difference between 2011 and today is the degree to whi</w:t>
      </w:r>
      <w:r w:rsidR="007302E3">
        <w:rPr>
          <w:color w:val="000000"/>
        </w:rPr>
        <w:t xml:space="preserve">ch researchers are expected to be active and visible online. My only feedback on the two articles published from this study was remarkably civil by contemporary standards. Early predictions that OA and the development of academic identities on social media would have tangible benefits in terms of research impact have proven overly optimistic. What has emerged is an often toxic online environment in which academic researchers themselves are considered ‘fair game’ for abuse, trolling and </w:t>
      </w:r>
      <w:r w:rsidR="007302E3">
        <w:rPr>
          <w:color w:val="000000"/>
        </w:rPr>
        <w:lastRenderedPageBreak/>
        <w:t xml:space="preserve">sometimes even physical threats of violence too. While it is beyond the scope of this paper to explore this in more detail, the failure of online platforms to regulate hate speech and other online harms has made studying social media sousveillance much </w:t>
      </w:r>
      <w:r w:rsidR="00F90C52">
        <w:rPr>
          <w:color w:val="000000"/>
        </w:rPr>
        <w:t xml:space="preserve">riskier </w:t>
      </w:r>
      <w:r w:rsidR="007302E3">
        <w:rPr>
          <w:color w:val="000000"/>
        </w:rPr>
        <w:t xml:space="preserve">than </w:t>
      </w:r>
      <w:r w:rsidR="00F90C52">
        <w:rPr>
          <w:color w:val="000000"/>
        </w:rPr>
        <w:t>before</w:t>
      </w:r>
      <w:r w:rsidR="007302E3">
        <w:rPr>
          <w:color w:val="000000"/>
        </w:rPr>
        <w:t>. If I was to replicate this study today I would have to consider whether I needed to make my own social media accounts private, as well as how best to respond to any online harassment from those critical of my findings. Nevertheless, this would arguably have little impact on the ethical stance taken during the research itself. In the case of projects investigating public perceptions of sousveillance footage shared on sites like YouTube, there remains no clear justification for naming unaware participants</w:t>
      </w:r>
      <w:r w:rsidR="00E73D9A">
        <w:rPr>
          <w:color w:val="000000"/>
        </w:rPr>
        <w:t xml:space="preserve"> and exposing them to reputational or other forms of harm. If the focus was to be on the backgrounds of those leaving these comments then arguably a</w:t>
      </w:r>
      <w:r w:rsidR="00E934EA">
        <w:rPr>
          <w:color w:val="000000"/>
        </w:rPr>
        <w:t xml:space="preserve"> better</w:t>
      </w:r>
      <w:r w:rsidR="00E73D9A">
        <w:rPr>
          <w:color w:val="000000"/>
        </w:rPr>
        <w:t xml:space="preserve"> approach would be to contact and interview them. Overall, the lessons from my research are clear: researchers should tread carefully when navigating the tension between the public interest defence of their work and the perceived publicness of social media users whose content they are investigating. This is particularly salient given the </w:t>
      </w:r>
      <w:r w:rsidR="003E0835">
        <w:rPr>
          <w:color w:val="000000"/>
        </w:rPr>
        <w:t>deteriorating trust in academic researchers, much of which is fuelled by the misinformation amplified by the platforms they study.</w:t>
      </w:r>
    </w:p>
    <w:p w14:paraId="24262F68" w14:textId="77777777" w:rsidR="00C02CAB" w:rsidRDefault="00C02CAB" w:rsidP="00F22268">
      <w:pPr>
        <w:jc w:val="both"/>
        <w:rPr>
          <w:color w:val="000000"/>
        </w:rPr>
      </w:pPr>
    </w:p>
    <w:p w14:paraId="67F55B95" w14:textId="77777777" w:rsidR="002B1A75" w:rsidRDefault="002B1A75" w:rsidP="00F22268">
      <w:pPr>
        <w:jc w:val="both"/>
        <w:rPr>
          <w:color w:val="000000"/>
        </w:rPr>
      </w:pPr>
    </w:p>
    <w:p w14:paraId="4AC742D0" w14:textId="77777777" w:rsidR="00652801" w:rsidRDefault="00652801" w:rsidP="00F22268">
      <w:pPr>
        <w:jc w:val="both"/>
        <w:rPr>
          <w:color w:val="000000"/>
        </w:rPr>
      </w:pPr>
    </w:p>
    <w:p w14:paraId="595AFDAD" w14:textId="77777777" w:rsidR="00652801" w:rsidRDefault="00652801" w:rsidP="00F22268">
      <w:pPr>
        <w:jc w:val="both"/>
        <w:rPr>
          <w:color w:val="000000"/>
        </w:rPr>
      </w:pPr>
      <w:r>
        <w:rPr>
          <w:color w:val="000000"/>
        </w:rPr>
        <w:t>References</w:t>
      </w:r>
    </w:p>
    <w:p w14:paraId="12C2C711" w14:textId="77777777" w:rsidR="00652801" w:rsidRDefault="00652801" w:rsidP="00F22268">
      <w:pPr>
        <w:jc w:val="both"/>
        <w:rPr>
          <w:color w:val="000000"/>
        </w:rPr>
      </w:pPr>
    </w:p>
    <w:p w14:paraId="555B9C42" w14:textId="77777777" w:rsidR="00043692" w:rsidRDefault="00043692" w:rsidP="00F22268">
      <w:pPr>
        <w:spacing w:before="180" w:after="180"/>
        <w:jc w:val="both"/>
        <w:textAlignment w:val="baseline"/>
        <w:rPr>
          <w:rFonts w:ascii="Arial" w:eastAsia="Times New Roman" w:hAnsi="Arial" w:cs="Arial"/>
          <w:color w:val="111111"/>
          <w:sz w:val="22"/>
          <w:szCs w:val="22"/>
        </w:rPr>
      </w:pPr>
      <w:r w:rsidRPr="00043692">
        <w:rPr>
          <w:rFonts w:ascii="Arial" w:eastAsia="Times New Roman" w:hAnsi="Arial" w:cs="Arial"/>
          <w:color w:val="111111"/>
          <w:sz w:val="22"/>
          <w:szCs w:val="22"/>
        </w:rPr>
        <w:t>Alabrese, E</w:t>
      </w:r>
      <w:r>
        <w:rPr>
          <w:rFonts w:ascii="Arial" w:eastAsia="Times New Roman" w:hAnsi="Arial" w:cs="Arial"/>
          <w:color w:val="111111"/>
          <w:sz w:val="22"/>
          <w:szCs w:val="22"/>
        </w:rPr>
        <w:t xml:space="preserve">., </w:t>
      </w:r>
      <w:r w:rsidRPr="00043692">
        <w:rPr>
          <w:rFonts w:ascii="Arial" w:eastAsia="Times New Roman" w:hAnsi="Arial" w:cs="Arial"/>
          <w:color w:val="111111"/>
          <w:sz w:val="22"/>
          <w:szCs w:val="22"/>
        </w:rPr>
        <w:t>Capozza, F</w:t>
      </w:r>
      <w:r>
        <w:rPr>
          <w:rFonts w:ascii="Arial" w:eastAsia="Times New Roman" w:hAnsi="Arial" w:cs="Arial"/>
          <w:color w:val="111111"/>
          <w:sz w:val="22"/>
          <w:szCs w:val="22"/>
        </w:rPr>
        <w:t>.,</w:t>
      </w:r>
      <w:r w:rsidRPr="00043692">
        <w:rPr>
          <w:rFonts w:ascii="Arial" w:eastAsia="Times New Roman" w:hAnsi="Arial" w:cs="Arial"/>
          <w:color w:val="111111"/>
          <w:sz w:val="22"/>
          <w:szCs w:val="22"/>
        </w:rPr>
        <w:t xml:space="preserve"> and Garg, P</w:t>
      </w:r>
      <w:r>
        <w:rPr>
          <w:rFonts w:ascii="Arial" w:eastAsia="Times New Roman" w:hAnsi="Arial" w:cs="Arial"/>
          <w:color w:val="111111"/>
          <w:sz w:val="22"/>
          <w:szCs w:val="22"/>
        </w:rPr>
        <w:t>. (2024)</w:t>
      </w:r>
      <w:r w:rsidRPr="00043692">
        <w:rPr>
          <w:rFonts w:ascii="Arial" w:eastAsia="Times New Roman" w:hAnsi="Arial" w:cs="Arial"/>
          <w:color w:val="111111"/>
          <w:sz w:val="22"/>
          <w:szCs w:val="22"/>
        </w:rPr>
        <w:t xml:space="preserve"> Politicized Scientists: Credibility Cost of Political Expression on Twitte</w:t>
      </w:r>
      <w:r>
        <w:rPr>
          <w:rFonts w:ascii="Arial" w:eastAsia="Times New Roman" w:hAnsi="Arial" w:cs="Arial"/>
          <w:color w:val="111111"/>
          <w:sz w:val="22"/>
          <w:szCs w:val="22"/>
        </w:rPr>
        <w:t>r</w:t>
      </w:r>
      <w:r w:rsidRPr="00043692">
        <w:rPr>
          <w:rFonts w:ascii="Arial" w:eastAsia="Times New Roman" w:hAnsi="Arial" w:cs="Arial"/>
          <w:color w:val="111111"/>
          <w:sz w:val="22"/>
          <w:szCs w:val="22"/>
        </w:rPr>
        <w:t>. CESifo Working Paper No. 11254, Available at SSRN: </w:t>
      </w:r>
      <w:hyperlink r:id="rId10" w:tgtFrame="_blank" w:history="1">
        <w:r w:rsidRPr="00043692">
          <w:rPr>
            <w:rStyle w:val="Hyperlink"/>
            <w:rFonts w:ascii="Arial" w:eastAsia="Times New Roman" w:hAnsi="Arial" w:cs="Arial"/>
            <w:sz w:val="22"/>
            <w:szCs w:val="22"/>
          </w:rPr>
          <w:t>https://ssrn.com/abstract=4922427</w:t>
        </w:r>
      </w:hyperlink>
    </w:p>
    <w:p w14:paraId="36867BF3" w14:textId="77777777" w:rsidR="00E34B62" w:rsidRPr="00BE78F0" w:rsidRDefault="00E34B62" w:rsidP="00F22268">
      <w:pPr>
        <w:spacing w:before="180" w:after="180"/>
        <w:jc w:val="both"/>
        <w:textAlignment w:val="baseline"/>
        <w:rPr>
          <w:rFonts w:ascii="Arial" w:eastAsia="Times New Roman" w:hAnsi="Arial" w:cs="Arial"/>
          <w:color w:val="000000"/>
          <w:sz w:val="22"/>
          <w:szCs w:val="22"/>
        </w:rPr>
      </w:pPr>
      <w:r w:rsidRPr="00BE78F0">
        <w:rPr>
          <w:rFonts w:ascii="Arial" w:eastAsia="Times New Roman" w:hAnsi="Arial" w:cs="Arial"/>
          <w:color w:val="111111"/>
          <w:sz w:val="22"/>
          <w:szCs w:val="22"/>
        </w:rPr>
        <w:t>Allan, S. (2013) </w:t>
      </w:r>
      <w:r w:rsidRPr="00BE78F0">
        <w:rPr>
          <w:rFonts w:ascii="Arial" w:eastAsia="Times New Roman" w:hAnsi="Arial" w:cs="Arial"/>
          <w:i/>
          <w:iCs/>
          <w:color w:val="111111"/>
          <w:sz w:val="22"/>
          <w:szCs w:val="22"/>
        </w:rPr>
        <w:t>Citizen Witnessing: Revisioning Journalism in Times of Crisis</w:t>
      </w:r>
      <w:r w:rsidRPr="00BE78F0">
        <w:rPr>
          <w:rFonts w:ascii="Arial" w:eastAsia="Times New Roman" w:hAnsi="Arial" w:cs="Arial"/>
          <w:color w:val="111111"/>
          <w:sz w:val="22"/>
          <w:szCs w:val="22"/>
        </w:rPr>
        <w:t>. Cambridge: Polity Press. </w:t>
      </w:r>
    </w:p>
    <w:p w14:paraId="604DE94D" w14:textId="77777777" w:rsidR="00D63153" w:rsidRPr="00D63153" w:rsidRDefault="00D63153" w:rsidP="00F22268">
      <w:pPr>
        <w:spacing w:before="180" w:after="180"/>
        <w:jc w:val="both"/>
        <w:textAlignment w:val="baseline"/>
        <w:rPr>
          <w:rFonts w:ascii="Arial" w:eastAsia="Times New Roman" w:hAnsi="Arial" w:cs="Arial"/>
          <w:i/>
          <w:iCs/>
          <w:color w:val="000000"/>
          <w:sz w:val="22"/>
          <w:szCs w:val="22"/>
        </w:rPr>
      </w:pPr>
      <w:r w:rsidRPr="00D63153">
        <w:rPr>
          <w:rFonts w:ascii="Arial" w:eastAsia="Times New Roman" w:hAnsi="Arial" w:cs="Arial"/>
          <w:color w:val="000000"/>
          <w:sz w:val="22"/>
          <w:szCs w:val="22"/>
        </w:rPr>
        <w:t>Bowker, N., and Tuffin, K. (2004) “Using the Online Medium for Discursive Research about People with Disabilities,”</w:t>
      </w:r>
      <w:r w:rsidRPr="00D63153">
        <w:rPr>
          <w:rFonts w:ascii="Arial" w:eastAsia="Times New Roman" w:hAnsi="Arial" w:cs="Arial"/>
          <w:i/>
          <w:iCs/>
          <w:color w:val="000000"/>
          <w:sz w:val="22"/>
          <w:szCs w:val="22"/>
        </w:rPr>
        <w:t xml:space="preserve"> Social Science Computer Review,</w:t>
      </w:r>
      <w:r>
        <w:rPr>
          <w:rFonts w:ascii="Arial" w:eastAsia="Times New Roman" w:hAnsi="Arial" w:cs="Arial"/>
          <w:i/>
          <w:iCs/>
          <w:color w:val="000000"/>
          <w:sz w:val="22"/>
          <w:szCs w:val="22"/>
        </w:rPr>
        <w:t xml:space="preserve"> </w:t>
      </w:r>
      <w:r w:rsidRPr="00D63153">
        <w:rPr>
          <w:rFonts w:ascii="Arial" w:eastAsia="Times New Roman" w:hAnsi="Arial" w:cs="Arial"/>
          <w:color w:val="000000"/>
          <w:sz w:val="22"/>
          <w:szCs w:val="22"/>
        </w:rPr>
        <w:t>22(2): 228-241.</w:t>
      </w:r>
    </w:p>
    <w:p w14:paraId="27FC0884" w14:textId="77777777" w:rsidR="00B348FE" w:rsidRPr="00B348FE" w:rsidRDefault="00B348FE" w:rsidP="00B348FE">
      <w:pPr>
        <w:spacing w:before="180" w:after="180"/>
        <w:jc w:val="both"/>
        <w:textAlignment w:val="baseline"/>
        <w:rPr>
          <w:rFonts w:ascii="Arial" w:eastAsia="Times New Roman" w:hAnsi="Arial" w:cs="Arial"/>
          <w:i/>
          <w:iCs/>
          <w:color w:val="000000"/>
          <w:sz w:val="22"/>
          <w:szCs w:val="22"/>
        </w:rPr>
      </w:pPr>
      <w:r w:rsidRPr="00B348FE">
        <w:rPr>
          <w:rFonts w:ascii="Arial" w:eastAsia="Times New Roman" w:hAnsi="Arial" w:cs="Arial"/>
          <w:color w:val="000000"/>
          <w:sz w:val="22"/>
          <w:szCs w:val="22"/>
        </w:rPr>
        <w:t>Braun, V. &amp; Clarke, V. (2006). Using thematic analysis in psychology</w:t>
      </w:r>
      <w:r w:rsidRPr="00B348FE">
        <w:rPr>
          <w:rFonts w:ascii="Arial" w:eastAsia="Times New Roman" w:hAnsi="Arial" w:cs="Arial"/>
          <w:i/>
          <w:iCs/>
          <w:color w:val="000000"/>
          <w:sz w:val="22"/>
          <w:szCs w:val="22"/>
        </w:rPr>
        <w:t>. Qualitative Research in</w:t>
      </w:r>
      <w:r>
        <w:rPr>
          <w:rFonts w:ascii="Arial" w:eastAsia="Times New Roman" w:hAnsi="Arial" w:cs="Arial"/>
          <w:i/>
          <w:iCs/>
          <w:color w:val="000000"/>
          <w:sz w:val="22"/>
          <w:szCs w:val="22"/>
        </w:rPr>
        <w:t xml:space="preserve"> </w:t>
      </w:r>
      <w:r w:rsidRPr="00B348FE">
        <w:rPr>
          <w:rFonts w:ascii="Arial" w:eastAsia="Times New Roman" w:hAnsi="Arial" w:cs="Arial"/>
          <w:i/>
          <w:iCs/>
          <w:color w:val="000000"/>
          <w:sz w:val="22"/>
          <w:szCs w:val="22"/>
        </w:rPr>
        <w:t xml:space="preserve">Psychology, </w:t>
      </w:r>
      <w:r w:rsidRPr="00B348FE">
        <w:rPr>
          <w:rFonts w:ascii="Arial" w:eastAsia="Times New Roman" w:hAnsi="Arial" w:cs="Arial"/>
          <w:color w:val="000000"/>
          <w:sz w:val="22"/>
          <w:szCs w:val="22"/>
        </w:rPr>
        <w:t>3</w:t>
      </w:r>
      <w:r>
        <w:rPr>
          <w:rFonts w:ascii="Arial" w:eastAsia="Times New Roman" w:hAnsi="Arial" w:cs="Arial"/>
          <w:color w:val="000000"/>
          <w:sz w:val="22"/>
          <w:szCs w:val="22"/>
        </w:rPr>
        <w:t>:</w:t>
      </w:r>
      <w:r w:rsidRPr="00B348FE">
        <w:rPr>
          <w:rFonts w:ascii="Arial" w:eastAsia="Times New Roman" w:hAnsi="Arial" w:cs="Arial"/>
          <w:color w:val="000000"/>
          <w:sz w:val="22"/>
          <w:szCs w:val="22"/>
        </w:rPr>
        <w:t xml:space="preserve"> 77-101.</w:t>
      </w:r>
    </w:p>
    <w:p w14:paraId="0ADF65C1" w14:textId="77777777" w:rsidR="00307AB1" w:rsidRPr="00307AB1" w:rsidRDefault="00307AB1" w:rsidP="00F22268">
      <w:pPr>
        <w:spacing w:before="180" w:after="180"/>
        <w:jc w:val="both"/>
        <w:textAlignment w:val="baseline"/>
        <w:rPr>
          <w:rFonts w:ascii="Arial" w:eastAsia="Times New Roman" w:hAnsi="Arial" w:cs="Arial"/>
          <w:color w:val="000000"/>
          <w:sz w:val="22"/>
          <w:szCs w:val="22"/>
        </w:rPr>
      </w:pPr>
      <w:r w:rsidRPr="00307AB1">
        <w:rPr>
          <w:rFonts w:ascii="Arial" w:eastAsia="Times New Roman" w:hAnsi="Arial" w:cs="Arial"/>
          <w:color w:val="000000"/>
          <w:sz w:val="22"/>
          <w:szCs w:val="22"/>
        </w:rPr>
        <w:t>British Psychological Society (2021). Code of human research ethics. Retrieved 21 May 2021 from</w:t>
      </w:r>
      <w:r>
        <w:rPr>
          <w:rFonts w:ascii="Arial" w:eastAsia="Times New Roman" w:hAnsi="Arial" w:cs="Arial"/>
          <w:color w:val="000000"/>
          <w:sz w:val="22"/>
          <w:szCs w:val="22"/>
        </w:rPr>
        <w:t xml:space="preserve"> </w:t>
      </w:r>
      <w:r w:rsidRPr="00307AB1">
        <w:rPr>
          <w:rFonts w:ascii="Arial" w:eastAsia="Times New Roman" w:hAnsi="Arial" w:cs="Arial"/>
          <w:color w:val="000000"/>
          <w:sz w:val="22"/>
          <w:szCs w:val="22"/>
        </w:rPr>
        <w:t xml:space="preserve">www.bps.org.uk/files/Policy/Policy%20%20Files/BPS%20Code%20of%20Human%20Research%20Ethics.pdf </w:t>
      </w:r>
    </w:p>
    <w:p w14:paraId="374F60A0" w14:textId="77777777" w:rsidR="00E34B62" w:rsidRDefault="00E34B62" w:rsidP="00F22268">
      <w:pPr>
        <w:spacing w:before="180" w:after="180"/>
        <w:jc w:val="both"/>
        <w:textAlignment w:val="baseline"/>
        <w:rPr>
          <w:rFonts w:ascii="Arial" w:eastAsia="Times New Roman" w:hAnsi="Arial" w:cs="Arial"/>
          <w:color w:val="000000"/>
          <w:sz w:val="22"/>
          <w:szCs w:val="22"/>
          <w:lang w:val="en-US"/>
        </w:rPr>
      </w:pPr>
      <w:r w:rsidRPr="00A9274B">
        <w:rPr>
          <w:rFonts w:ascii="Arial" w:eastAsia="Times New Roman" w:hAnsi="Arial" w:cs="Arial"/>
          <w:color w:val="000000"/>
          <w:sz w:val="22"/>
          <w:szCs w:val="22"/>
          <w:lang w:val="en-US"/>
        </w:rPr>
        <w:t>Burgess</w:t>
      </w:r>
      <w:r>
        <w:rPr>
          <w:rFonts w:ascii="Arial" w:eastAsia="Times New Roman" w:hAnsi="Arial" w:cs="Arial"/>
          <w:color w:val="000000"/>
          <w:sz w:val="22"/>
          <w:szCs w:val="22"/>
          <w:lang w:val="en-US"/>
        </w:rPr>
        <w:t>, J.,</w:t>
      </w:r>
      <w:r w:rsidRPr="00A9274B">
        <w:rPr>
          <w:rFonts w:ascii="Arial" w:eastAsia="Times New Roman" w:hAnsi="Arial" w:cs="Arial"/>
          <w:color w:val="000000"/>
          <w:sz w:val="22"/>
          <w:szCs w:val="22"/>
          <w:lang w:val="en-US"/>
        </w:rPr>
        <w:t xml:space="preserve"> and Green</w:t>
      </w:r>
      <w:r>
        <w:rPr>
          <w:rFonts w:ascii="Arial" w:eastAsia="Times New Roman" w:hAnsi="Arial" w:cs="Arial"/>
          <w:color w:val="000000"/>
          <w:sz w:val="22"/>
          <w:szCs w:val="22"/>
          <w:lang w:val="en-US"/>
        </w:rPr>
        <w:t>, J.</w:t>
      </w:r>
      <w:r w:rsidRPr="00A9274B">
        <w:rPr>
          <w:rFonts w:ascii="Arial" w:eastAsia="Times New Roman" w:hAnsi="Arial" w:cs="Arial"/>
          <w:color w:val="000000"/>
          <w:sz w:val="22"/>
          <w:szCs w:val="22"/>
          <w:lang w:val="en-US"/>
        </w:rPr>
        <w:t xml:space="preserve"> </w:t>
      </w:r>
      <w:r>
        <w:rPr>
          <w:rFonts w:ascii="Arial" w:eastAsia="Times New Roman" w:hAnsi="Arial" w:cs="Arial"/>
          <w:color w:val="000000"/>
          <w:sz w:val="22"/>
          <w:szCs w:val="22"/>
          <w:lang w:val="en-US"/>
        </w:rPr>
        <w:t>(</w:t>
      </w:r>
      <w:r w:rsidRPr="00A9274B">
        <w:rPr>
          <w:rFonts w:ascii="Arial" w:eastAsia="Times New Roman" w:hAnsi="Arial" w:cs="Arial"/>
          <w:color w:val="000000"/>
          <w:sz w:val="22"/>
          <w:szCs w:val="22"/>
          <w:lang w:val="en-US"/>
        </w:rPr>
        <w:t>2018</w:t>
      </w:r>
      <w:r>
        <w:rPr>
          <w:rFonts w:ascii="Arial" w:eastAsia="Times New Roman" w:hAnsi="Arial" w:cs="Arial"/>
          <w:color w:val="000000"/>
          <w:sz w:val="22"/>
          <w:szCs w:val="22"/>
          <w:lang w:val="en-US"/>
        </w:rPr>
        <w:t>)</w:t>
      </w:r>
      <w:r w:rsidRPr="00A9274B">
        <w:rPr>
          <w:rFonts w:ascii="Arial" w:eastAsia="Times New Roman" w:hAnsi="Arial" w:cs="Arial"/>
          <w:color w:val="000000"/>
          <w:sz w:val="22"/>
          <w:szCs w:val="22"/>
          <w:lang w:val="en-US"/>
        </w:rPr>
        <w:t xml:space="preserve"> </w:t>
      </w:r>
      <w:r w:rsidRPr="00A9274B">
        <w:rPr>
          <w:rFonts w:ascii="Arial" w:eastAsia="Times New Roman" w:hAnsi="Arial" w:cs="Arial"/>
          <w:i/>
          <w:iCs/>
          <w:color w:val="000000"/>
          <w:sz w:val="22"/>
          <w:szCs w:val="22"/>
          <w:lang w:val="en-US"/>
        </w:rPr>
        <w:t>YouTube: Online Video and Participatory Culture</w:t>
      </w:r>
      <w:r w:rsidRPr="00A9274B">
        <w:rPr>
          <w:rFonts w:ascii="Arial" w:eastAsia="Times New Roman" w:hAnsi="Arial" w:cs="Arial"/>
          <w:color w:val="000000"/>
          <w:sz w:val="22"/>
          <w:szCs w:val="22"/>
          <w:lang w:val="en-US"/>
        </w:rPr>
        <w:t>. London: John Wiley &amp; Sons (Second Edition).</w:t>
      </w:r>
    </w:p>
    <w:p w14:paraId="7B3AA6D9" w14:textId="77777777" w:rsidR="00EF4EE9" w:rsidRDefault="00EF4EE9" w:rsidP="00B1609C">
      <w:pPr>
        <w:spacing w:before="180" w:after="180"/>
        <w:jc w:val="both"/>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Carrigan, M. (2019) </w:t>
      </w:r>
      <w:r w:rsidRPr="00EF4EE9">
        <w:rPr>
          <w:rFonts w:ascii="Arial" w:eastAsia="Times New Roman" w:hAnsi="Arial" w:cs="Arial"/>
          <w:i/>
          <w:iCs/>
          <w:color w:val="000000"/>
          <w:sz w:val="22"/>
          <w:szCs w:val="22"/>
        </w:rPr>
        <w:t>Social Media for Academics</w:t>
      </w:r>
      <w:r>
        <w:rPr>
          <w:rFonts w:ascii="Arial" w:eastAsia="Times New Roman" w:hAnsi="Arial" w:cs="Arial"/>
          <w:color w:val="000000"/>
          <w:sz w:val="22"/>
          <w:szCs w:val="22"/>
        </w:rPr>
        <w:t>, London: Sage (Second Edition).</w:t>
      </w:r>
    </w:p>
    <w:p w14:paraId="141FD30A" w14:textId="77777777" w:rsidR="00B1609C" w:rsidRPr="00B1609C" w:rsidRDefault="00B1609C" w:rsidP="00B1609C">
      <w:pPr>
        <w:spacing w:before="180" w:after="180"/>
        <w:jc w:val="both"/>
        <w:textAlignment w:val="baseline"/>
        <w:rPr>
          <w:rFonts w:ascii="Arial" w:eastAsia="Times New Roman" w:hAnsi="Arial" w:cs="Arial"/>
          <w:bCs/>
          <w:color w:val="000000"/>
          <w:sz w:val="22"/>
          <w:szCs w:val="22"/>
        </w:rPr>
      </w:pPr>
      <w:r w:rsidRPr="00B1609C">
        <w:rPr>
          <w:rFonts w:ascii="Arial" w:eastAsia="Times New Roman" w:hAnsi="Arial" w:cs="Arial"/>
          <w:color w:val="000000"/>
          <w:sz w:val="22"/>
          <w:szCs w:val="22"/>
        </w:rPr>
        <w:t xml:space="preserve">Draper, N.A. and Turow, J. (2019) </w:t>
      </w:r>
      <w:r w:rsidRPr="00B1609C">
        <w:rPr>
          <w:rFonts w:ascii="Arial" w:eastAsia="Times New Roman" w:hAnsi="Arial" w:cs="Arial"/>
          <w:bCs/>
          <w:i/>
          <w:color w:val="000000"/>
          <w:sz w:val="22"/>
          <w:szCs w:val="22"/>
        </w:rPr>
        <w:t>The corporate cultivation of digital resignation, New Media &amp; Society</w:t>
      </w:r>
      <w:r w:rsidRPr="00B1609C">
        <w:rPr>
          <w:rFonts w:ascii="Arial" w:eastAsia="Times New Roman" w:hAnsi="Arial" w:cs="Arial"/>
          <w:bCs/>
          <w:color w:val="000000"/>
          <w:sz w:val="22"/>
          <w:szCs w:val="22"/>
        </w:rPr>
        <w:t>, 1-16. https://doi.org/10.1177/1461444819833331</w:t>
      </w:r>
    </w:p>
    <w:p w14:paraId="23EFD205" w14:textId="77777777" w:rsidR="0033485B" w:rsidRPr="0033485B" w:rsidRDefault="0033485B" w:rsidP="00F22268">
      <w:pPr>
        <w:spacing w:before="180" w:after="180"/>
        <w:jc w:val="both"/>
        <w:textAlignment w:val="baseline"/>
        <w:rPr>
          <w:rFonts w:ascii="Arial" w:eastAsia="Times New Roman" w:hAnsi="Arial" w:cs="Arial"/>
          <w:color w:val="000000"/>
          <w:sz w:val="22"/>
          <w:szCs w:val="22"/>
        </w:rPr>
      </w:pPr>
      <w:r w:rsidRPr="0033485B">
        <w:rPr>
          <w:rFonts w:ascii="Arial" w:eastAsia="Times New Roman" w:hAnsi="Arial" w:cs="Arial"/>
          <w:color w:val="000000"/>
          <w:sz w:val="22"/>
          <w:szCs w:val="22"/>
        </w:rPr>
        <w:t xml:space="preserve">Dutta K and Duff O (2011) Police raid over ‘petrol bomb plot’ sparks Tesco riot. </w:t>
      </w:r>
      <w:r w:rsidRPr="0033485B">
        <w:rPr>
          <w:rFonts w:ascii="Arial" w:eastAsia="Times New Roman" w:hAnsi="Arial" w:cs="Arial"/>
          <w:i/>
          <w:iCs/>
          <w:color w:val="000000"/>
          <w:sz w:val="22"/>
          <w:szCs w:val="22"/>
        </w:rPr>
        <w:t>The Independent</w:t>
      </w:r>
      <w:r w:rsidRPr="0033485B">
        <w:rPr>
          <w:rFonts w:ascii="Arial" w:eastAsia="Times New Roman" w:hAnsi="Arial" w:cs="Arial"/>
          <w:color w:val="000000"/>
          <w:sz w:val="22"/>
          <w:szCs w:val="22"/>
        </w:rPr>
        <w:t xml:space="preserve">, 23 April. </w:t>
      </w:r>
    </w:p>
    <w:p w14:paraId="4258C3D0" w14:textId="77777777" w:rsidR="002E4E19" w:rsidRPr="002E4E19" w:rsidRDefault="002E4E19" w:rsidP="00F22268">
      <w:pPr>
        <w:spacing w:before="180" w:after="180"/>
        <w:jc w:val="both"/>
        <w:textAlignment w:val="baseline"/>
        <w:rPr>
          <w:rFonts w:ascii="Arial" w:eastAsia="Times New Roman" w:hAnsi="Arial" w:cs="Arial"/>
          <w:i/>
          <w:iCs/>
          <w:color w:val="000000"/>
          <w:sz w:val="22"/>
          <w:szCs w:val="22"/>
        </w:rPr>
      </w:pPr>
      <w:r w:rsidRPr="002E4E19">
        <w:rPr>
          <w:rFonts w:ascii="Arial" w:eastAsia="Times New Roman" w:hAnsi="Arial" w:cs="Arial"/>
          <w:color w:val="000000"/>
          <w:sz w:val="22"/>
          <w:szCs w:val="22"/>
        </w:rPr>
        <w:t>Ess, C., &amp;</w:t>
      </w:r>
      <w:r w:rsidRPr="002E4E19">
        <w:rPr>
          <w:rFonts w:ascii="Arial" w:eastAsia="Times New Roman" w:hAnsi="Arial" w:cs="Arial"/>
          <w:i/>
          <w:iCs/>
          <w:color w:val="000000"/>
          <w:sz w:val="22"/>
          <w:szCs w:val="22"/>
        </w:rPr>
        <w:t xml:space="preserve"> </w:t>
      </w:r>
      <w:r w:rsidRPr="002E4E19">
        <w:rPr>
          <w:rFonts w:ascii="Arial" w:eastAsia="Times New Roman" w:hAnsi="Arial" w:cs="Arial"/>
          <w:color w:val="000000"/>
          <w:sz w:val="22"/>
          <w:szCs w:val="22"/>
        </w:rPr>
        <w:t>AoIR ethics working committee, (2002</w:t>
      </w:r>
      <w:r w:rsidRPr="002E4E19">
        <w:rPr>
          <w:rFonts w:ascii="Arial" w:eastAsia="Times New Roman" w:hAnsi="Arial" w:cs="Arial"/>
          <w:i/>
          <w:iCs/>
          <w:color w:val="000000"/>
          <w:sz w:val="22"/>
          <w:szCs w:val="22"/>
        </w:rPr>
        <w:t>) Ethical Decision Making and</w:t>
      </w:r>
      <w:r>
        <w:rPr>
          <w:rFonts w:ascii="Arial" w:eastAsia="Times New Roman" w:hAnsi="Arial" w:cs="Arial"/>
          <w:i/>
          <w:iCs/>
          <w:color w:val="000000"/>
          <w:sz w:val="22"/>
          <w:szCs w:val="22"/>
        </w:rPr>
        <w:t xml:space="preserve"> </w:t>
      </w:r>
      <w:r w:rsidRPr="002E4E19">
        <w:rPr>
          <w:rFonts w:ascii="Arial" w:eastAsia="Times New Roman" w:hAnsi="Arial" w:cs="Arial"/>
          <w:i/>
          <w:iCs/>
          <w:color w:val="000000"/>
          <w:sz w:val="22"/>
          <w:szCs w:val="22"/>
        </w:rPr>
        <w:t xml:space="preserve">Internet Research, </w:t>
      </w:r>
      <w:r w:rsidRPr="002E4E19">
        <w:rPr>
          <w:rFonts w:ascii="Arial" w:eastAsia="Times New Roman" w:hAnsi="Arial" w:cs="Arial"/>
          <w:color w:val="000000"/>
          <w:sz w:val="22"/>
          <w:szCs w:val="22"/>
        </w:rPr>
        <w:t>Available online at</w:t>
      </w:r>
      <w:r w:rsidRPr="002E4E19">
        <w:rPr>
          <w:rFonts w:ascii="Arial" w:eastAsia="Times New Roman" w:hAnsi="Arial" w:cs="Arial"/>
          <w:i/>
          <w:iCs/>
          <w:color w:val="000000"/>
          <w:sz w:val="22"/>
          <w:szCs w:val="22"/>
        </w:rPr>
        <w:t xml:space="preserve">: </w:t>
      </w:r>
      <w:hyperlink r:id="rId11" w:history="1">
        <w:r w:rsidRPr="002E4E19">
          <w:rPr>
            <w:rStyle w:val="Hyperlink"/>
            <w:rFonts w:ascii="Arial" w:eastAsia="Times New Roman" w:hAnsi="Arial" w:cs="Arial"/>
            <w:i/>
            <w:iCs/>
            <w:sz w:val="22"/>
            <w:szCs w:val="22"/>
          </w:rPr>
          <w:t>http://www.aoir.org/reports/ethics.pdf</w:t>
        </w:r>
      </w:hyperlink>
      <w:r>
        <w:rPr>
          <w:rFonts w:ascii="Arial" w:eastAsia="Times New Roman" w:hAnsi="Arial" w:cs="Arial"/>
          <w:i/>
          <w:iCs/>
          <w:color w:val="000000"/>
          <w:sz w:val="22"/>
          <w:szCs w:val="22"/>
        </w:rPr>
        <w:t xml:space="preserve"> </w:t>
      </w:r>
      <w:r w:rsidRPr="002E4E19">
        <w:rPr>
          <w:rFonts w:ascii="Arial" w:eastAsia="Times New Roman" w:hAnsi="Arial" w:cs="Arial"/>
          <w:color w:val="000000"/>
          <w:sz w:val="22"/>
          <w:szCs w:val="22"/>
        </w:rPr>
        <w:t>[Accessed10 April 2012]</w:t>
      </w:r>
    </w:p>
    <w:p w14:paraId="625CCCAA" w14:textId="77777777" w:rsidR="002E4E19" w:rsidRPr="002E4E19" w:rsidRDefault="002E4E19" w:rsidP="00F22268">
      <w:pPr>
        <w:spacing w:before="180" w:after="180"/>
        <w:jc w:val="both"/>
        <w:textAlignment w:val="baseline"/>
        <w:rPr>
          <w:rFonts w:ascii="Arial" w:eastAsia="Times New Roman" w:hAnsi="Arial" w:cs="Arial"/>
          <w:color w:val="000000"/>
          <w:sz w:val="22"/>
          <w:szCs w:val="22"/>
        </w:rPr>
      </w:pPr>
      <w:r w:rsidRPr="002E4E19">
        <w:rPr>
          <w:rFonts w:ascii="Arial" w:eastAsia="Times New Roman" w:hAnsi="Arial" w:cs="Arial"/>
          <w:color w:val="000000"/>
          <w:sz w:val="22"/>
          <w:szCs w:val="22"/>
        </w:rPr>
        <w:lastRenderedPageBreak/>
        <w:t>Eysenbach, G., and Till, J.E. (2001) “Ethical Issues in Qualitative Research on</w:t>
      </w:r>
      <w:r>
        <w:rPr>
          <w:rFonts w:ascii="Arial" w:eastAsia="Times New Roman" w:hAnsi="Arial" w:cs="Arial"/>
          <w:color w:val="000000"/>
          <w:sz w:val="22"/>
          <w:szCs w:val="22"/>
        </w:rPr>
        <w:t xml:space="preserve"> </w:t>
      </w:r>
      <w:r w:rsidRPr="002E4E19">
        <w:rPr>
          <w:rFonts w:ascii="Arial" w:eastAsia="Times New Roman" w:hAnsi="Arial" w:cs="Arial"/>
          <w:color w:val="000000"/>
          <w:sz w:val="22"/>
          <w:szCs w:val="22"/>
        </w:rPr>
        <w:t xml:space="preserve">Internet Communities,” </w:t>
      </w:r>
      <w:r w:rsidRPr="002E4E19">
        <w:rPr>
          <w:rFonts w:ascii="Arial" w:eastAsia="Times New Roman" w:hAnsi="Arial" w:cs="Arial"/>
          <w:i/>
          <w:iCs/>
          <w:color w:val="000000"/>
          <w:sz w:val="22"/>
          <w:szCs w:val="22"/>
        </w:rPr>
        <w:t>British Medical Journal</w:t>
      </w:r>
      <w:r w:rsidRPr="002E4E19">
        <w:rPr>
          <w:rFonts w:ascii="Arial" w:eastAsia="Times New Roman" w:hAnsi="Arial" w:cs="Arial"/>
          <w:color w:val="000000"/>
          <w:sz w:val="22"/>
          <w:szCs w:val="22"/>
        </w:rPr>
        <w:t>, 323(10): 1103-1105.</w:t>
      </w:r>
    </w:p>
    <w:p w14:paraId="1D248840" w14:textId="77777777" w:rsidR="00A4620B" w:rsidRDefault="00A4620B" w:rsidP="00F22268">
      <w:pPr>
        <w:spacing w:before="180" w:after="180"/>
        <w:jc w:val="both"/>
        <w:textAlignment w:val="baseline"/>
        <w:rPr>
          <w:rFonts w:ascii="Arial" w:eastAsia="Times New Roman" w:hAnsi="Arial" w:cs="Arial"/>
          <w:color w:val="000000"/>
          <w:sz w:val="22"/>
          <w:szCs w:val="22"/>
        </w:rPr>
      </w:pPr>
      <w:r w:rsidRPr="00A4620B">
        <w:rPr>
          <w:rFonts w:ascii="Arial" w:eastAsia="Times New Roman" w:hAnsi="Arial" w:cs="Arial"/>
          <w:color w:val="000000"/>
          <w:sz w:val="22"/>
          <w:szCs w:val="22"/>
        </w:rPr>
        <w:t xml:space="preserve">Fiesler, C. and Proferes, N. (2018)  “Participant” Perceptions of Twitter Research Ethics, </w:t>
      </w:r>
      <w:r w:rsidRPr="00A4620B">
        <w:rPr>
          <w:rFonts w:ascii="Arial" w:eastAsia="Times New Roman" w:hAnsi="Arial" w:cs="Arial"/>
          <w:i/>
          <w:iCs/>
          <w:color w:val="000000"/>
          <w:sz w:val="22"/>
          <w:szCs w:val="22"/>
        </w:rPr>
        <w:t xml:space="preserve">Social Media + Society, </w:t>
      </w:r>
      <w:r w:rsidRPr="00A4620B">
        <w:rPr>
          <w:rFonts w:ascii="Arial" w:eastAsia="Times New Roman" w:hAnsi="Arial" w:cs="Arial"/>
          <w:color w:val="000000"/>
          <w:sz w:val="22"/>
          <w:szCs w:val="22"/>
        </w:rPr>
        <w:t>Jan-March 2018: 1-14.</w:t>
      </w:r>
    </w:p>
    <w:p w14:paraId="1D8BC7B5" w14:textId="77777777" w:rsidR="00E34B62" w:rsidRPr="00BE78F0" w:rsidRDefault="00E34B62" w:rsidP="00F22268">
      <w:pPr>
        <w:spacing w:before="180" w:after="180"/>
        <w:jc w:val="both"/>
        <w:textAlignment w:val="baseline"/>
        <w:rPr>
          <w:rFonts w:ascii="Arial" w:eastAsia="Times New Roman" w:hAnsi="Arial" w:cs="Arial"/>
          <w:color w:val="000000"/>
          <w:sz w:val="22"/>
          <w:szCs w:val="22"/>
        </w:rPr>
      </w:pPr>
      <w:r w:rsidRPr="00BE78F0">
        <w:rPr>
          <w:rFonts w:ascii="Arial" w:eastAsia="Times New Roman" w:hAnsi="Arial" w:cs="Arial"/>
          <w:color w:val="000000"/>
          <w:sz w:val="22"/>
          <w:szCs w:val="22"/>
        </w:rPr>
        <w:t>Fischer, M. and Mohrman</w:t>
      </w:r>
      <w:r>
        <w:rPr>
          <w:rFonts w:ascii="Arial" w:eastAsia="Times New Roman" w:hAnsi="Arial" w:cs="Arial"/>
          <w:color w:val="000000"/>
          <w:sz w:val="22"/>
          <w:szCs w:val="22"/>
        </w:rPr>
        <w:t>, K.</w:t>
      </w:r>
      <w:r w:rsidRPr="00BE78F0">
        <w:rPr>
          <w:rFonts w:ascii="Arial" w:eastAsia="Times New Roman" w:hAnsi="Arial" w:cs="Arial"/>
          <w:color w:val="000000"/>
          <w:sz w:val="22"/>
          <w:szCs w:val="22"/>
        </w:rPr>
        <w:t xml:space="preserve"> (2016) Black Deaths Matter? Sousveillance and the invisibility of Black life, </w:t>
      </w:r>
      <w:r w:rsidRPr="00BE78F0">
        <w:rPr>
          <w:rFonts w:ascii="Arial" w:eastAsia="Times New Roman" w:hAnsi="Arial" w:cs="Arial"/>
          <w:i/>
          <w:iCs/>
          <w:color w:val="000000"/>
          <w:sz w:val="22"/>
          <w:szCs w:val="22"/>
        </w:rPr>
        <w:t>Ada: A Journal of Gender, New Media, and Technology</w:t>
      </w:r>
      <w:r w:rsidRPr="00BE78F0">
        <w:rPr>
          <w:rFonts w:ascii="Arial" w:eastAsia="Times New Roman" w:hAnsi="Arial" w:cs="Arial"/>
          <w:color w:val="000000"/>
          <w:sz w:val="22"/>
          <w:szCs w:val="22"/>
        </w:rPr>
        <w:t>, 10.</w:t>
      </w:r>
    </w:p>
    <w:p w14:paraId="16793709" w14:textId="77777777" w:rsidR="000330EE" w:rsidRPr="000330EE" w:rsidRDefault="000330EE" w:rsidP="00F22268">
      <w:pPr>
        <w:spacing w:before="180" w:after="180"/>
        <w:jc w:val="both"/>
        <w:textAlignment w:val="baseline"/>
        <w:rPr>
          <w:rFonts w:ascii="Arial" w:hAnsi="Arial" w:cs="Arial"/>
          <w:sz w:val="22"/>
          <w:szCs w:val="22"/>
        </w:rPr>
      </w:pPr>
      <w:r w:rsidRPr="000330EE">
        <w:rPr>
          <w:rFonts w:ascii="Arial" w:hAnsi="Arial" w:cs="Arial"/>
          <w:sz w:val="22"/>
          <w:szCs w:val="22"/>
        </w:rPr>
        <w:t>franzke, a</w:t>
      </w:r>
      <w:r>
        <w:rPr>
          <w:rFonts w:ascii="Arial" w:hAnsi="Arial" w:cs="Arial"/>
          <w:sz w:val="22"/>
          <w:szCs w:val="22"/>
        </w:rPr>
        <w:t>.</w:t>
      </w:r>
      <w:r w:rsidRPr="000330EE">
        <w:rPr>
          <w:rFonts w:ascii="Arial" w:hAnsi="Arial" w:cs="Arial"/>
          <w:sz w:val="22"/>
          <w:szCs w:val="22"/>
        </w:rPr>
        <w:t xml:space="preserve"> </w:t>
      </w:r>
      <w:r>
        <w:rPr>
          <w:rFonts w:ascii="Arial" w:hAnsi="Arial" w:cs="Arial"/>
          <w:sz w:val="22"/>
          <w:szCs w:val="22"/>
        </w:rPr>
        <w:t>s.</w:t>
      </w:r>
      <w:r w:rsidRPr="000330EE">
        <w:rPr>
          <w:rFonts w:ascii="Arial" w:hAnsi="Arial" w:cs="Arial"/>
          <w:sz w:val="22"/>
          <w:szCs w:val="22"/>
        </w:rPr>
        <w:t>, Bechmann, A</w:t>
      </w:r>
      <w:r>
        <w:rPr>
          <w:rFonts w:ascii="Arial" w:hAnsi="Arial" w:cs="Arial"/>
          <w:sz w:val="22"/>
          <w:szCs w:val="22"/>
        </w:rPr>
        <w:t>.</w:t>
      </w:r>
      <w:r w:rsidRPr="000330EE">
        <w:rPr>
          <w:rFonts w:ascii="Arial" w:hAnsi="Arial" w:cs="Arial"/>
          <w:sz w:val="22"/>
          <w:szCs w:val="22"/>
        </w:rPr>
        <w:t>, Zimmer, M</w:t>
      </w:r>
      <w:r>
        <w:rPr>
          <w:rFonts w:ascii="Arial" w:hAnsi="Arial" w:cs="Arial"/>
          <w:sz w:val="22"/>
          <w:szCs w:val="22"/>
        </w:rPr>
        <w:t>.</w:t>
      </w:r>
      <w:r w:rsidRPr="000330EE">
        <w:rPr>
          <w:rFonts w:ascii="Arial" w:hAnsi="Arial" w:cs="Arial"/>
          <w:sz w:val="22"/>
          <w:szCs w:val="22"/>
        </w:rPr>
        <w:t>, Ess, C</w:t>
      </w:r>
      <w:r>
        <w:rPr>
          <w:rFonts w:ascii="Arial" w:hAnsi="Arial" w:cs="Arial"/>
          <w:sz w:val="22"/>
          <w:szCs w:val="22"/>
        </w:rPr>
        <w:t>.,</w:t>
      </w:r>
      <w:r w:rsidRPr="000330EE">
        <w:rPr>
          <w:rFonts w:ascii="Arial" w:hAnsi="Arial" w:cs="Arial"/>
          <w:sz w:val="22"/>
          <w:szCs w:val="22"/>
        </w:rPr>
        <w:t xml:space="preserve"> and the Association of Internet Researchers (2020). </w:t>
      </w:r>
      <w:r w:rsidRPr="000330EE">
        <w:rPr>
          <w:rFonts w:ascii="Arial" w:hAnsi="Arial" w:cs="Arial"/>
          <w:i/>
          <w:iCs/>
          <w:sz w:val="22"/>
          <w:szCs w:val="22"/>
        </w:rPr>
        <w:t>Internet Research: Ethical Guidelines 3.0</w:t>
      </w:r>
      <w:r w:rsidRPr="000330EE">
        <w:rPr>
          <w:rFonts w:ascii="Arial" w:hAnsi="Arial" w:cs="Arial"/>
          <w:sz w:val="22"/>
          <w:szCs w:val="22"/>
        </w:rPr>
        <w:t xml:space="preserve">. https://aoir.org/reports/ethics3.pdf </w:t>
      </w:r>
    </w:p>
    <w:p w14:paraId="4341044C" w14:textId="77777777" w:rsidR="00E34B62" w:rsidRPr="00BE78F0" w:rsidRDefault="00E34B62" w:rsidP="00F22268">
      <w:pPr>
        <w:spacing w:before="180" w:after="180"/>
        <w:jc w:val="both"/>
        <w:textAlignment w:val="baseline"/>
        <w:rPr>
          <w:rFonts w:ascii="Arial" w:eastAsia="Times New Roman" w:hAnsi="Arial" w:cs="Arial"/>
          <w:color w:val="000000"/>
          <w:sz w:val="22"/>
          <w:szCs w:val="22"/>
        </w:rPr>
      </w:pPr>
      <w:r w:rsidRPr="00BE78F0">
        <w:rPr>
          <w:rFonts w:ascii="Arial" w:hAnsi="Arial" w:cs="Arial"/>
          <w:sz w:val="22"/>
          <w:szCs w:val="22"/>
        </w:rPr>
        <w:t>Freelon, D.,McIlwain,</w:t>
      </w:r>
      <w:r>
        <w:rPr>
          <w:rFonts w:ascii="Arial" w:hAnsi="Arial" w:cs="Arial"/>
          <w:sz w:val="22"/>
          <w:szCs w:val="22"/>
        </w:rPr>
        <w:t xml:space="preserve"> C.D.</w:t>
      </w:r>
      <w:r w:rsidRPr="00BE78F0">
        <w:rPr>
          <w:rFonts w:ascii="Arial" w:hAnsi="Arial" w:cs="Arial"/>
          <w:sz w:val="22"/>
          <w:szCs w:val="22"/>
        </w:rPr>
        <w:t xml:space="preserve"> and Clark</w:t>
      </w:r>
      <w:r>
        <w:rPr>
          <w:rFonts w:ascii="Arial" w:hAnsi="Arial" w:cs="Arial"/>
          <w:sz w:val="22"/>
          <w:szCs w:val="22"/>
        </w:rPr>
        <w:t>, M.D.</w:t>
      </w:r>
      <w:r w:rsidRPr="00BE78F0">
        <w:rPr>
          <w:rFonts w:ascii="Arial" w:hAnsi="Arial" w:cs="Arial"/>
          <w:sz w:val="22"/>
          <w:szCs w:val="22"/>
        </w:rPr>
        <w:t xml:space="preserve"> </w:t>
      </w:r>
      <w:r w:rsidRPr="00BE78F0">
        <w:rPr>
          <w:rFonts w:ascii="Arial" w:eastAsia="Times New Roman" w:hAnsi="Arial" w:cs="Arial"/>
          <w:color w:val="000000"/>
          <w:sz w:val="22"/>
          <w:szCs w:val="22"/>
        </w:rPr>
        <w:t>(2016) </w:t>
      </w:r>
      <w:r w:rsidRPr="00BE78F0">
        <w:rPr>
          <w:rFonts w:ascii="Arial" w:eastAsia="Times New Roman" w:hAnsi="Arial" w:cs="Arial"/>
          <w:i/>
          <w:iCs/>
          <w:color w:val="000000"/>
          <w:sz w:val="22"/>
          <w:szCs w:val="22"/>
        </w:rPr>
        <w:t>Beyond the Hashtags: #Ferguson, #Blacklivesmatter, and the online struggle for offline justice</w:t>
      </w:r>
      <w:r w:rsidRPr="00BE78F0">
        <w:rPr>
          <w:rFonts w:ascii="Arial" w:eastAsia="Times New Roman" w:hAnsi="Arial" w:cs="Arial"/>
          <w:color w:val="000000"/>
          <w:sz w:val="22"/>
          <w:szCs w:val="22"/>
        </w:rPr>
        <w:t>, Washington D.C.: Center for Media &amp; Social Impact, American University</w:t>
      </w:r>
    </w:p>
    <w:p w14:paraId="304EC202" w14:textId="77777777" w:rsidR="00746EEB" w:rsidRPr="00746EEB" w:rsidRDefault="00746EEB" w:rsidP="00746EEB">
      <w:pPr>
        <w:spacing w:before="180" w:after="180"/>
        <w:jc w:val="both"/>
        <w:textAlignment w:val="baseline"/>
        <w:rPr>
          <w:rFonts w:ascii="Arial" w:eastAsia="Times New Roman" w:hAnsi="Arial" w:cs="Arial"/>
          <w:color w:val="111111"/>
          <w:sz w:val="22"/>
          <w:szCs w:val="22"/>
        </w:rPr>
      </w:pPr>
      <w:r w:rsidRPr="00746EEB">
        <w:rPr>
          <w:rFonts w:ascii="Arial" w:eastAsia="Times New Roman" w:hAnsi="Arial" w:cs="Arial"/>
          <w:color w:val="111111"/>
          <w:sz w:val="22"/>
          <w:szCs w:val="22"/>
        </w:rPr>
        <w:t>Fuchs, C. (2018) "Dear Mr. Neo-Nazi, Can You Please Give Me Your Informed Consent So That I Can Quote Your Fascist Tweet?": Questions of Social Media Research Ethics in Online Ideology Critique. in: Meikle, G. (ed.) The Routledge Companion to Media and Activism Abingdon Routledge, 385-394.</w:t>
      </w:r>
    </w:p>
    <w:p w14:paraId="58759DDE" w14:textId="77777777" w:rsidR="00E14549" w:rsidRPr="00E14549" w:rsidRDefault="00E14549" w:rsidP="00F22268">
      <w:pPr>
        <w:spacing w:before="180" w:after="180"/>
        <w:jc w:val="both"/>
        <w:textAlignment w:val="baseline"/>
        <w:rPr>
          <w:rFonts w:ascii="Arial" w:eastAsia="Times New Roman" w:hAnsi="Arial" w:cs="Arial"/>
          <w:i/>
          <w:iCs/>
          <w:color w:val="111111"/>
          <w:sz w:val="22"/>
          <w:szCs w:val="22"/>
        </w:rPr>
      </w:pPr>
      <w:r w:rsidRPr="00E14549">
        <w:rPr>
          <w:rFonts w:ascii="Arial" w:eastAsia="Times New Roman" w:hAnsi="Arial" w:cs="Arial"/>
          <w:color w:val="111111"/>
          <w:sz w:val="22"/>
          <w:szCs w:val="22"/>
        </w:rPr>
        <w:t>Hall, R (2011) Police hurt in violent anti-Tesco protests</w:t>
      </w:r>
      <w:r w:rsidRPr="00E14549">
        <w:rPr>
          <w:rFonts w:ascii="Arial" w:eastAsia="Times New Roman" w:hAnsi="Arial" w:cs="Arial"/>
          <w:i/>
          <w:iCs/>
          <w:color w:val="111111"/>
          <w:sz w:val="22"/>
          <w:szCs w:val="22"/>
        </w:rPr>
        <w:t>, BBC News, 22 April,</w:t>
      </w:r>
      <w:r>
        <w:rPr>
          <w:rFonts w:ascii="Arial" w:eastAsia="Times New Roman" w:hAnsi="Arial" w:cs="Arial"/>
          <w:i/>
          <w:iCs/>
          <w:color w:val="111111"/>
          <w:sz w:val="22"/>
          <w:szCs w:val="22"/>
        </w:rPr>
        <w:t xml:space="preserve"> </w:t>
      </w:r>
      <w:r w:rsidRPr="00E14549">
        <w:rPr>
          <w:rFonts w:ascii="Arial" w:eastAsia="Times New Roman" w:hAnsi="Arial" w:cs="Arial"/>
          <w:color w:val="111111"/>
          <w:sz w:val="22"/>
          <w:szCs w:val="22"/>
        </w:rPr>
        <w:t>Available at: http://www.bbc.co.uk/news/uk-england-bristol-13167041 [Accessed 10May 2011]</w:t>
      </w:r>
    </w:p>
    <w:p w14:paraId="33363101" w14:textId="77777777" w:rsidR="00E34B62" w:rsidRDefault="00E34B62" w:rsidP="00F22268">
      <w:pPr>
        <w:spacing w:before="180" w:after="180"/>
        <w:jc w:val="both"/>
        <w:textAlignment w:val="baseline"/>
        <w:rPr>
          <w:rFonts w:ascii="Arial" w:eastAsia="Times New Roman" w:hAnsi="Arial" w:cs="Arial"/>
          <w:color w:val="111111"/>
          <w:sz w:val="22"/>
          <w:szCs w:val="22"/>
        </w:rPr>
      </w:pPr>
      <w:r w:rsidRPr="00991ADC">
        <w:rPr>
          <w:rFonts w:ascii="Arial" w:eastAsia="Times New Roman" w:hAnsi="Arial" w:cs="Arial"/>
          <w:color w:val="111111"/>
          <w:sz w:val="22"/>
          <w:szCs w:val="22"/>
        </w:rPr>
        <w:t xml:space="preserve">Jackson, S.J., Bailey, M., and Foucault Welles, B. (2020) </w:t>
      </w:r>
      <w:r w:rsidRPr="00991ADC">
        <w:rPr>
          <w:rFonts w:ascii="Arial" w:eastAsia="Times New Roman" w:hAnsi="Arial" w:cs="Arial"/>
          <w:i/>
          <w:iCs/>
          <w:color w:val="111111"/>
          <w:sz w:val="22"/>
          <w:szCs w:val="22"/>
        </w:rPr>
        <w:t>#Hashtag Activism: Networks of Race and Gender Justice</w:t>
      </w:r>
      <w:r w:rsidRPr="00991ADC">
        <w:rPr>
          <w:rFonts w:ascii="Arial" w:eastAsia="Times New Roman" w:hAnsi="Arial" w:cs="Arial"/>
          <w:color w:val="111111"/>
          <w:sz w:val="22"/>
          <w:szCs w:val="22"/>
        </w:rPr>
        <w:t>, MIT Press</w:t>
      </w:r>
      <w:r>
        <w:rPr>
          <w:rFonts w:ascii="Arial" w:eastAsia="Times New Roman" w:hAnsi="Arial" w:cs="Arial"/>
          <w:color w:val="111111"/>
          <w:sz w:val="22"/>
          <w:szCs w:val="22"/>
        </w:rPr>
        <w:t>.</w:t>
      </w:r>
    </w:p>
    <w:p w14:paraId="4102C7A8" w14:textId="77777777" w:rsidR="00307AB1" w:rsidRPr="00307AB1" w:rsidRDefault="00307AB1" w:rsidP="00F22268">
      <w:pPr>
        <w:spacing w:before="180" w:after="180"/>
        <w:jc w:val="both"/>
        <w:textAlignment w:val="baseline"/>
        <w:rPr>
          <w:rFonts w:ascii="Arial" w:eastAsia="Times New Roman" w:hAnsi="Arial" w:cs="Arial"/>
          <w:color w:val="111111"/>
          <w:sz w:val="22"/>
          <w:szCs w:val="22"/>
        </w:rPr>
      </w:pPr>
      <w:r w:rsidRPr="00307AB1">
        <w:rPr>
          <w:rFonts w:ascii="Arial" w:eastAsia="Times New Roman" w:hAnsi="Arial" w:cs="Arial"/>
          <w:color w:val="111111"/>
          <w:sz w:val="22"/>
          <w:szCs w:val="22"/>
        </w:rPr>
        <w:t>King, S. A. (1996).</w:t>
      </w:r>
      <w:r w:rsidRPr="00307AB1">
        <w:rPr>
          <w:rFonts w:ascii="Arial" w:eastAsia="Times New Roman" w:hAnsi="Arial" w:cs="Arial"/>
          <w:i/>
          <w:iCs/>
          <w:color w:val="111111"/>
          <w:sz w:val="22"/>
          <w:szCs w:val="22"/>
        </w:rPr>
        <w:t xml:space="preserve"> </w:t>
      </w:r>
      <w:r w:rsidRPr="00307AB1">
        <w:rPr>
          <w:rFonts w:ascii="Arial" w:eastAsia="Times New Roman" w:hAnsi="Arial" w:cs="Arial"/>
          <w:color w:val="111111"/>
          <w:sz w:val="22"/>
          <w:szCs w:val="22"/>
        </w:rPr>
        <w:t>Researching internet communities: Proposed ethical guidelines for</w:t>
      </w:r>
    </w:p>
    <w:p w14:paraId="22B25F22" w14:textId="77777777" w:rsidR="00307AB1" w:rsidRDefault="00307AB1" w:rsidP="00F22268">
      <w:pPr>
        <w:spacing w:before="180" w:after="180"/>
        <w:jc w:val="both"/>
        <w:textAlignment w:val="baseline"/>
        <w:rPr>
          <w:rFonts w:ascii="Arial" w:eastAsia="Times New Roman" w:hAnsi="Arial" w:cs="Arial"/>
          <w:i/>
          <w:iCs/>
          <w:color w:val="111111"/>
          <w:sz w:val="22"/>
          <w:szCs w:val="22"/>
        </w:rPr>
      </w:pPr>
      <w:r w:rsidRPr="00307AB1">
        <w:rPr>
          <w:rFonts w:ascii="Arial" w:eastAsia="Times New Roman" w:hAnsi="Arial" w:cs="Arial"/>
          <w:color w:val="111111"/>
          <w:sz w:val="22"/>
          <w:szCs w:val="22"/>
        </w:rPr>
        <w:t>the reporting of results.</w:t>
      </w:r>
      <w:r w:rsidRPr="00307AB1">
        <w:rPr>
          <w:rFonts w:ascii="Arial" w:eastAsia="Times New Roman" w:hAnsi="Arial" w:cs="Arial"/>
          <w:i/>
          <w:iCs/>
          <w:color w:val="111111"/>
          <w:sz w:val="22"/>
          <w:szCs w:val="22"/>
        </w:rPr>
        <w:t xml:space="preserve"> The Information Society, 12(2): 119–128.</w:t>
      </w:r>
    </w:p>
    <w:p w14:paraId="2FF872CB" w14:textId="77777777" w:rsidR="002E4E19" w:rsidRPr="002E4E19" w:rsidRDefault="002E4E19" w:rsidP="00F22268">
      <w:pPr>
        <w:spacing w:before="180" w:after="180"/>
        <w:jc w:val="both"/>
        <w:textAlignment w:val="baseline"/>
        <w:rPr>
          <w:rFonts w:ascii="Arial" w:eastAsia="Times New Roman" w:hAnsi="Arial" w:cs="Arial"/>
          <w:i/>
          <w:iCs/>
          <w:color w:val="111111"/>
          <w:sz w:val="22"/>
          <w:szCs w:val="22"/>
        </w:rPr>
      </w:pPr>
      <w:r w:rsidRPr="001F217F">
        <w:rPr>
          <w:rFonts w:ascii="Arial" w:eastAsia="Times New Roman" w:hAnsi="Arial" w:cs="Arial"/>
          <w:color w:val="111111"/>
          <w:sz w:val="22"/>
          <w:szCs w:val="22"/>
        </w:rPr>
        <w:t>Kozinets, R.V. (2010)</w:t>
      </w:r>
      <w:r w:rsidRPr="002E4E19">
        <w:rPr>
          <w:rFonts w:ascii="Arial" w:eastAsia="Times New Roman" w:hAnsi="Arial" w:cs="Arial"/>
          <w:i/>
          <w:iCs/>
          <w:color w:val="111111"/>
          <w:sz w:val="22"/>
          <w:szCs w:val="22"/>
        </w:rPr>
        <w:t xml:space="preserve"> Netnography: Doing Ethnographic Research Online, </w:t>
      </w:r>
      <w:r w:rsidRPr="001F217F">
        <w:rPr>
          <w:rFonts w:ascii="Arial" w:eastAsia="Times New Roman" w:hAnsi="Arial" w:cs="Arial"/>
          <w:color w:val="111111"/>
          <w:sz w:val="22"/>
          <w:szCs w:val="22"/>
        </w:rPr>
        <w:t>London: SAGE</w:t>
      </w:r>
      <w:r w:rsidRPr="002E4E19">
        <w:rPr>
          <w:rFonts w:ascii="Arial" w:eastAsia="Times New Roman" w:hAnsi="Arial" w:cs="Arial"/>
          <w:i/>
          <w:iCs/>
          <w:color w:val="111111"/>
          <w:sz w:val="22"/>
          <w:szCs w:val="22"/>
        </w:rPr>
        <w:t>.</w:t>
      </w:r>
    </w:p>
    <w:p w14:paraId="6958AE9C" w14:textId="77777777" w:rsidR="00E34B62" w:rsidRDefault="00E34B62" w:rsidP="00F22268">
      <w:pPr>
        <w:spacing w:before="180" w:after="180"/>
        <w:jc w:val="both"/>
        <w:textAlignment w:val="baseline"/>
        <w:rPr>
          <w:rFonts w:ascii="Arial" w:eastAsia="Times New Roman" w:hAnsi="Arial" w:cs="Arial"/>
          <w:color w:val="111111"/>
          <w:sz w:val="22"/>
          <w:szCs w:val="22"/>
        </w:rPr>
      </w:pPr>
      <w:r w:rsidRPr="00BE78F0">
        <w:rPr>
          <w:rFonts w:ascii="Arial" w:eastAsia="Times New Roman" w:hAnsi="Arial" w:cs="Arial"/>
          <w:color w:val="111111"/>
          <w:sz w:val="22"/>
          <w:szCs w:val="22"/>
        </w:rPr>
        <w:t>Mann, S., and Ferenbok</w:t>
      </w:r>
      <w:r>
        <w:rPr>
          <w:rFonts w:ascii="Arial" w:eastAsia="Times New Roman" w:hAnsi="Arial" w:cs="Arial"/>
          <w:color w:val="111111"/>
          <w:sz w:val="22"/>
          <w:szCs w:val="22"/>
        </w:rPr>
        <w:t>, J.</w:t>
      </w:r>
      <w:r w:rsidRPr="00BE78F0">
        <w:rPr>
          <w:rFonts w:ascii="Arial" w:eastAsia="Times New Roman" w:hAnsi="Arial" w:cs="Arial"/>
          <w:color w:val="111111"/>
          <w:sz w:val="22"/>
          <w:szCs w:val="22"/>
        </w:rPr>
        <w:t xml:space="preserve"> (2013) New media and the power politics of sousveillance in a surveillance dominated world, </w:t>
      </w:r>
      <w:r w:rsidRPr="00BE78F0">
        <w:rPr>
          <w:rFonts w:ascii="Arial" w:eastAsia="Times New Roman" w:hAnsi="Arial" w:cs="Arial"/>
          <w:i/>
          <w:iCs/>
          <w:color w:val="111111"/>
          <w:sz w:val="22"/>
          <w:szCs w:val="22"/>
        </w:rPr>
        <w:t>Surveillance &amp; Society</w:t>
      </w:r>
      <w:r w:rsidRPr="00BE78F0">
        <w:rPr>
          <w:rFonts w:ascii="Arial" w:eastAsia="Times New Roman" w:hAnsi="Arial" w:cs="Arial"/>
          <w:color w:val="111111"/>
          <w:sz w:val="22"/>
          <w:szCs w:val="22"/>
        </w:rPr>
        <w:t>, 11(2):18-34.</w:t>
      </w:r>
    </w:p>
    <w:p w14:paraId="0A2F80D9" w14:textId="77777777" w:rsidR="0024756D" w:rsidRPr="0024756D" w:rsidRDefault="0024756D" w:rsidP="00F22268">
      <w:pPr>
        <w:spacing w:before="180" w:after="180"/>
        <w:jc w:val="both"/>
        <w:textAlignment w:val="baseline"/>
        <w:rPr>
          <w:rFonts w:ascii="Arial" w:eastAsia="Times New Roman" w:hAnsi="Arial" w:cs="Arial"/>
          <w:color w:val="111111"/>
          <w:sz w:val="22"/>
          <w:szCs w:val="22"/>
        </w:rPr>
      </w:pPr>
      <w:r w:rsidRPr="0024756D">
        <w:rPr>
          <w:rFonts w:ascii="Arial" w:eastAsia="Times New Roman" w:hAnsi="Arial" w:cs="Arial"/>
          <w:color w:val="111111"/>
          <w:sz w:val="22"/>
          <w:szCs w:val="22"/>
        </w:rPr>
        <w:t xml:space="preserve">Mann, S. (2004) </w:t>
      </w:r>
      <w:r w:rsidRPr="0024756D">
        <w:rPr>
          <w:rFonts w:ascii="Arial" w:eastAsia="Times New Roman" w:hAnsi="Arial" w:cs="Arial"/>
          <w:bCs/>
          <w:color w:val="111111"/>
          <w:sz w:val="22"/>
          <w:szCs w:val="22"/>
        </w:rPr>
        <w:t>“Sousveillance”</w:t>
      </w:r>
      <w:r w:rsidRPr="0024756D">
        <w:rPr>
          <w:rFonts w:ascii="Arial" w:eastAsia="Times New Roman" w:hAnsi="Arial" w:cs="Arial"/>
          <w:b/>
          <w:bCs/>
          <w:color w:val="111111"/>
          <w:sz w:val="22"/>
          <w:szCs w:val="22"/>
        </w:rPr>
        <w:t xml:space="preserve"> </w:t>
      </w:r>
      <w:r w:rsidRPr="0024756D">
        <w:rPr>
          <w:rFonts w:ascii="Arial" w:eastAsia="Times New Roman" w:hAnsi="Arial" w:cs="Arial"/>
          <w:color w:val="111111"/>
          <w:sz w:val="22"/>
          <w:szCs w:val="22"/>
        </w:rPr>
        <w:t>Inverse Surveillance in Multimedia Imaging, ACM Multimedia 2004 - proceedings of the 12th ACM International Conference on Multimedia, 620-627.</w:t>
      </w:r>
    </w:p>
    <w:p w14:paraId="5B6EC711" w14:textId="77777777" w:rsidR="00E34B62" w:rsidRPr="001F217F" w:rsidRDefault="00E34B62" w:rsidP="00F22268">
      <w:pPr>
        <w:spacing w:before="180" w:after="180"/>
        <w:jc w:val="both"/>
        <w:textAlignment w:val="baseline"/>
        <w:rPr>
          <w:rFonts w:ascii="Arial" w:eastAsia="Times New Roman" w:hAnsi="Arial" w:cs="Arial"/>
          <w:i/>
          <w:iCs/>
          <w:color w:val="111111"/>
          <w:sz w:val="22"/>
          <w:szCs w:val="22"/>
          <w:lang w:val="en-US"/>
        </w:rPr>
      </w:pPr>
      <w:r w:rsidRPr="00BE78F0">
        <w:rPr>
          <w:rFonts w:ascii="Arial" w:eastAsia="Times New Roman" w:hAnsi="Arial" w:cs="Arial"/>
          <w:color w:val="111111"/>
          <w:sz w:val="22"/>
          <w:szCs w:val="22"/>
          <w:lang w:val="en-US"/>
        </w:rPr>
        <w:t>Mann, S., Nolan,</w:t>
      </w:r>
      <w:r>
        <w:rPr>
          <w:rFonts w:ascii="Arial" w:eastAsia="Times New Roman" w:hAnsi="Arial" w:cs="Arial"/>
          <w:color w:val="111111"/>
          <w:sz w:val="22"/>
          <w:szCs w:val="22"/>
          <w:lang w:val="en-US"/>
        </w:rPr>
        <w:t xml:space="preserve"> J.,</w:t>
      </w:r>
      <w:r w:rsidRPr="00BE78F0">
        <w:rPr>
          <w:rFonts w:ascii="Arial" w:eastAsia="Times New Roman" w:hAnsi="Arial" w:cs="Arial"/>
          <w:color w:val="111111"/>
          <w:sz w:val="22"/>
          <w:szCs w:val="22"/>
          <w:lang w:val="en-US"/>
        </w:rPr>
        <w:t xml:space="preserve"> and Wellman</w:t>
      </w:r>
      <w:r>
        <w:rPr>
          <w:rFonts w:ascii="Arial" w:eastAsia="Times New Roman" w:hAnsi="Arial" w:cs="Arial"/>
          <w:color w:val="111111"/>
          <w:sz w:val="22"/>
          <w:szCs w:val="22"/>
          <w:lang w:val="en-US"/>
        </w:rPr>
        <w:t>, B.</w:t>
      </w:r>
      <w:r w:rsidRPr="00BE78F0">
        <w:rPr>
          <w:rFonts w:ascii="Arial" w:eastAsia="Times New Roman" w:hAnsi="Arial" w:cs="Arial"/>
          <w:color w:val="111111"/>
          <w:sz w:val="22"/>
          <w:szCs w:val="22"/>
          <w:lang w:val="en-US"/>
        </w:rPr>
        <w:t xml:space="preserve"> (2003). Sousveillance: inventing and using wearable computing devices for data collection in surveillance environments, </w:t>
      </w:r>
      <w:r w:rsidRPr="00BE78F0">
        <w:rPr>
          <w:rFonts w:ascii="Arial" w:eastAsia="Times New Roman" w:hAnsi="Arial" w:cs="Arial"/>
          <w:i/>
          <w:iCs/>
          <w:color w:val="111111"/>
          <w:sz w:val="22"/>
          <w:szCs w:val="22"/>
          <w:lang w:val="en-US"/>
        </w:rPr>
        <w:t>Surveillance &amp; Society,</w:t>
      </w:r>
      <w:r w:rsidRPr="00BE78F0">
        <w:rPr>
          <w:rFonts w:ascii="Arial" w:eastAsia="Times New Roman" w:hAnsi="Arial" w:cs="Arial"/>
          <w:color w:val="111111"/>
          <w:sz w:val="22"/>
          <w:szCs w:val="22"/>
          <w:lang w:val="en-US"/>
        </w:rPr>
        <w:t>1(3), 331-355.</w:t>
      </w:r>
    </w:p>
    <w:p w14:paraId="43D7C6E5" w14:textId="77777777" w:rsidR="001F217F" w:rsidRPr="001F217F" w:rsidRDefault="001F217F" w:rsidP="00F22268">
      <w:pPr>
        <w:spacing w:before="180" w:after="180"/>
        <w:jc w:val="both"/>
        <w:textAlignment w:val="baseline"/>
        <w:rPr>
          <w:rFonts w:ascii="Arial" w:eastAsia="Times New Roman" w:hAnsi="Arial" w:cs="Arial"/>
          <w:color w:val="000000"/>
          <w:sz w:val="22"/>
          <w:szCs w:val="22"/>
          <w:lang w:val="en-US"/>
        </w:rPr>
      </w:pPr>
      <w:r w:rsidRPr="001F217F">
        <w:rPr>
          <w:rFonts w:ascii="Arial" w:eastAsia="Times New Roman" w:hAnsi="Arial" w:cs="Arial"/>
          <w:color w:val="000000"/>
          <w:sz w:val="22"/>
          <w:szCs w:val="22"/>
          <w:lang w:val="en-US"/>
        </w:rPr>
        <w:t xml:space="preserve">Markham, A. (2012). Fabrication as ethical practice: Qualitative inquiry into ambiguous internet contexts. </w:t>
      </w:r>
      <w:r w:rsidRPr="001F217F">
        <w:rPr>
          <w:rFonts w:ascii="Arial" w:eastAsia="Times New Roman" w:hAnsi="Arial" w:cs="Arial"/>
          <w:i/>
          <w:color w:val="000000"/>
          <w:sz w:val="22"/>
          <w:szCs w:val="22"/>
          <w:lang w:val="en-US"/>
        </w:rPr>
        <w:t>Information. Communication, and Society</w:t>
      </w:r>
      <w:r w:rsidRPr="001F217F">
        <w:rPr>
          <w:rFonts w:ascii="Arial" w:eastAsia="Times New Roman" w:hAnsi="Arial" w:cs="Arial"/>
          <w:color w:val="000000"/>
          <w:sz w:val="22"/>
          <w:szCs w:val="22"/>
          <w:lang w:val="en-US"/>
        </w:rPr>
        <w:t xml:space="preserve">, 15, 334–353. </w:t>
      </w:r>
    </w:p>
    <w:p w14:paraId="47F6125D" w14:textId="77777777" w:rsidR="00694D87" w:rsidRPr="00694D87" w:rsidRDefault="00694D87" w:rsidP="00F22268">
      <w:pPr>
        <w:spacing w:before="180" w:after="180"/>
        <w:jc w:val="both"/>
        <w:textAlignment w:val="baseline"/>
        <w:rPr>
          <w:rFonts w:ascii="Arial" w:eastAsia="Times New Roman" w:hAnsi="Arial" w:cs="Arial"/>
          <w:i/>
          <w:iCs/>
          <w:color w:val="000000"/>
          <w:sz w:val="22"/>
          <w:szCs w:val="22"/>
        </w:rPr>
      </w:pPr>
      <w:r w:rsidRPr="00694D87">
        <w:rPr>
          <w:rFonts w:ascii="Arial" w:eastAsia="Times New Roman" w:hAnsi="Arial" w:cs="Arial"/>
          <w:color w:val="000000"/>
          <w:sz w:val="22"/>
          <w:szCs w:val="22"/>
        </w:rPr>
        <w:t>Nissenbaum, H. (2010)</w:t>
      </w:r>
      <w:r w:rsidRPr="00694D87">
        <w:rPr>
          <w:rFonts w:ascii="Arial" w:eastAsia="Times New Roman" w:hAnsi="Arial" w:cs="Arial"/>
          <w:i/>
          <w:iCs/>
          <w:color w:val="000000"/>
          <w:sz w:val="22"/>
          <w:szCs w:val="22"/>
        </w:rPr>
        <w:t xml:space="preserve"> Privacy in Context: Technology, Politics, and the Integrity of</w:t>
      </w:r>
      <w:r>
        <w:rPr>
          <w:rFonts w:ascii="Arial" w:eastAsia="Times New Roman" w:hAnsi="Arial" w:cs="Arial"/>
          <w:i/>
          <w:iCs/>
          <w:color w:val="000000"/>
          <w:sz w:val="22"/>
          <w:szCs w:val="22"/>
        </w:rPr>
        <w:t xml:space="preserve"> </w:t>
      </w:r>
      <w:r w:rsidRPr="00694D87">
        <w:rPr>
          <w:rFonts w:ascii="Arial" w:eastAsia="Times New Roman" w:hAnsi="Arial" w:cs="Arial"/>
          <w:i/>
          <w:iCs/>
          <w:color w:val="000000"/>
          <w:sz w:val="22"/>
          <w:szCs w:val="22"/>
        </w:rPr>
        <w:t xml:space="preserve">Social Life, </w:t>
      </w:r>
      <w:r w:rsidRPr="00694D87">
        <w:rPr>
          <w:rFonts w:ascii="Arial" w:eastAsia="Times New Roman" w:hAnsi="Arial" w:cs="Arial"/>
          <w:color w:val="000000"/>
          <w:sz w:val="22"/>
          <w:szCs w:val="22"/>
        </w:rPr>
        <w:t>Stanford: Stanford University Press.</w:t>
      </w:r>
    </w:p>
    <w:p w14:paraId="462B4517" w14:textId="77777777" w:rsidR="00086D35" w:rsidRDefault="00086D35" w:rsidP="00CE08EA">
      <w:pPr>
        <w:spacing w:before="180" w:after="180"/>
        <w:jc w:val="both"/>
        <w:textAlignment w:val="baseline"/>
        <w:rPr>
          <w:rFonts w:ascii="Arial" w:eastAsia="Times New Roman" w:hAnsi="Arial" w:cs="Arial"/>
          <w:color w:val="000000"/>
          <w:sz w:val="22"/>
          <w:szCs w:val="22"/>
        </w:rPr>
      </w:pPr>
      <w:r w:rsidRPr="00086D35">
        <w:rPr>
          <w:rFonts w:ascii="Arial" w:eastAsia="Times New Roman" w:hAnsi="Arial" w:cs="Arial"/>
          <w:color w:val="000000"/>
          <w:sz w:val="22"/>
          <w:szCs w:val="22"/>
        </w:rPr>
        <w:t>Oksanen A</w:t>
      </w:r>
      <w:r>
        <w:rPr>
          <w:rFonts w:ascii="Arial" w:eastAsia="Times New Roman" w:hAnsi="Arial" w:cs="Arial"/>
          <w:color w:val="000000"/>
          <w:sz w:val="22"/>
          <w:szCs w:val="22"/>
        </w:rPr>
        <w:t>.</w:t>
      </w:r>
      <w:r w:rsidRPr="00086D35">
        <w:rPr>
          <w:rFonts w:ascii="Arial" w:eastAsia="Times New Roman" w:hAnsi="Arial" w:cs="Arial"/>
          <w:color w:val="000000"/>
          <w:sz w:val="22"/>
          <w:szCs w:val="22"/>
        </w:rPr>
        <w:t>, Celuch</w:t>
      </w:r>
      <w:r>
        <w:rPr>
          <w:rFonts w:ascii="Arial" w:eastAsia="Times New Roman" w:hAnsi="Arial" w:cs="Arial"/>
          <w:color w:val="000000"/>
          <w:sz w:val="22"/>
          <w:szCs w:val="22"/>
        </w:rPr>
        <w:t>,</w:t>
      </w:r>
      <w:r w:rsidRPr="00086D35">
        <w:rPr>
          <w:rFonts w:ascii="Arial" w:eastAsia="Times New Roman" w:hAnsi="Arial" w:cs="Arial"/>
          <w:color w:val="000000"/>
          <w:sz w:val="22"/>
          <w:szCs w:val="22"/>
        </w:rPr>
        <w:t xml:space="preserve"> M</w:t>
      </w:r>
      <w:r>
        <w:rPr>
          <w:rFonts w:ascii="Arial" w:eastAsia="Times New Roman" w:hAnsi="Arial" w:cs="Arial"/>
          <w:color w:val="000000"/>
          <w:sz w:val="22"/>
          <w:szCs w:val="22"/>
        </w:rPr>
        <w:t>.</w:t>
      </w:r>
      <w:r w:rsidRPr="00086D35">
        <w:rPr>
          <w:rFonts w:ascii="Arial" w:eastAsia="Times New Roman" w:hAnsi="Arial" w:cs="Arial"/>
          <w:color w:val="000000"/>
          <w:sz w:val="22"/>
          <w:szCs w:val="22"/>
        </w:rPr>
        <w:t>, Latikka</w:t>
      </w:r>
      <w:r>
        <w:rPr>
          <w:rFonts w:ascii="Arial" w:eastAsia="Times New Roman" w:hAnsi="Arial" w:cs="Arial"/>
          <w:color w:val="000000"/>
          <w:sz w:val="22"/>
          <w:szCs w:val="22"/>
        </w:rPr>
        <w:t>,</w:t>
      </w:r>
      <w:r w:rsidRPr="00086D35">
        <w:rPr>
          <w:rFonts w:ascii="Arial" w:eastAsia="Times New Roman" w:hAnsi="Arial" w:cs="Arial"/>
          <w:color w:val="000000"/>
          <w:sz w:val="22"/>
          <w:szCs w:val="22"/>
        </w:rPr>
        <w:t xml:space="preserve"> R</w:t>
      </w:r>
      <w:r>
        <w:rPr>
          <w:rFonts w:ascii="Arial" w:eastAsia="Times New Roman" w:hAnsi="Arial" w:cs="Arial"/>
          <w:color w:val="000000"/>
          <w:sz w:val="22"/>
          <w:szCs w:val="22"/>
        </w:rPr>
        <w:t>.</w:t>
      </w:r>
      <w:r w:rsidRPr="00086D35">
        <w:rPr>
          <w:rFonts w:ascii="Arial" w:eastAsia="Times New Roman" w:hAnsi="Arial" w:cs="Arial"/>
          <w:color w:val="000000"/>
          <w:sz w:val="22"/>
          <w:szCs w:val="22"/>
        </w:rPr>
        <w:t>, Oksa</w:t>
      </w:r>
      <w:r>
        <w:rPr>
          <w:rFonts w:ascii="Arial" w:eastAsia="Times New Roman" w:hAnsi="Arial" w:cs="Arial"/>
          <w:color w:val="000000"/>
          <w:sz w:val="22"/>
          <w:szCs w:val="22"/>
        </w:rPr>
        <w:t>,</w:t>
      </w:r>
      <w:r w:rsidRPr="00086D35">
        <w:rPr>
          <w:rFonts w:ascii="Arial" w:eastAsia="Times New Roman" w:hAnsi="Arial" w:cs="Arial"/>
          <w:color w:val="000000"/>
          <w:sz w:val="22"/>
          <w:szCs w:val="22"/>
        </w:rPr>
        <w:t xml:space="preserve"> R</w:t>
      </w:r>
      <w:r>
        <w:rPr>
          <w:rFonts w:ascii="Arial" w:eastAsia="Times New Roman" w:hAnsi="Arial" w:cs="Arial"/>
          <w:color w:val="000000"/>
          <w:sz w:val="22"/>
          <w:szCs w:val="22"/>
        </w:rPr>
        <w:t>.</w:t>
      </w:r>
      <w:r w:rsidRPr="00086D35">
        <w:rPr>
          <w:rFonts w:ascii="Arial" w:eastAsia="Times New Roman" w:hAnsi="Arial" w:cs="Arial"/>
          <w:color w:val="000000"/>
          <w:sz w:val="22"/>
          <w:szCs w:val="22"/>
        </w:rPr>
        <w:t>,</w:t>
      </w:r>
      <w:r>
        <w:rPr>
          <w:rFonts w:ascii="Arial" w:eastAsia="Times New Roman" w:hAnsi="Arial" w:cs="Arial"/>
          <w:color w:val="000000"/>
          <w:sz w:val="22"/>
          <w:szCs w:val="22"/>
        </w:rPr>
        <w:t xml:space="preserve"> and</w:t>
      </w:r>
      <w:r w:rsidRPr="00086D35">
        <w:rPr>
          <w:rFonts w:ascii="Arial" w:eastAsia="Times New Roman" w:hAnsi="Arial" w:cs="Arial"/>
          <w:color w:val="000000"/>
          <w:sz w:val="22"/>
          <w:szCs w:val="22"/>
        </w:rPr>
        <w:t xml:space="preserve"> Savela</w:t>
      </w:r>
      <w:r>
        <w:rPr>
          <w:rFonts w:ascii="Arial" w:eastAsia="Times New Roman" w:hAnsi="Arial" w:cs="Arial"/>
          <w:color w:val="000000"/>
          <w:sz w:val="22"/>
          <w:szCs w:val="22"/>
        </w:rPr>
        <w:t>,</w:t>
      </w:r>
      <w:r w:rsidRPr="00086D35">
        <w:rPr>
          <w:rFonts w:ascii="Arial" w:eastAsia="Times New Roman" w:hAnsi="Arial" w:cs="Arial"/>
          <w:color w:val="000000"/>
          <w:sz w:val="22"/>
          <w:szCs w:val="22"/>
        </w:rPr>
        <w:t xml:space="preserve"> N. </w:t>
      </w:r>
      <w:r>
        <w:rPr>
          <w:rFonts w:ascii="Arial" w:eastAsia="Times New Roman" w:hAnsi="Arial" w:cs="Arial"/>
          <w:color w:val="000000"/>
          <w:sz w:val="22"/>
          <w:szCs w:val="22"/>
        </w:rPr>
        <w:t xml:space="preserve">(2022) </w:t>
      </w:r>
      <w:r w:rsidRPr="00086D35">
        <w:rPr>
          <w:rFonts w:ascii="Arial" w:eastAsia="Times New Roman" w:hAnsi="Arial" w:cs="Arial"/>
          <w:color w:val="000000"/>
          <w:sz w:val="22"/>
          <w:szCs w:val="22"/>
        </w:rPr>
        <w:t>Hate and harassment in academia: the rising concern of the online environment. High Educ (Dordr).</w:t>
      </w:r>
      <w:r>
        <w:rPr>
          <w:rFonts w:ascii="Arial" w:eastAsia="Times New Roman" w:hAnsi="Arial" w:cs="Arial"/>
          <w:color w:val="000000"/>
          <w:sz w:val="22"/>
          <w:szCs w:val="22"/>
        </w:rPr>
        <w:t xml:space="preserve"> </w:t>
      </w:r>
      <w:r w:rsidRPr="00086D35">
        <w:rPr>
          <w:rFonts w:ascii="Arial" w:eastAsia="Times New Roman" w:hAnsi="Arial" w:cs="Arial"/>
          <w:color w:val="000000"/>
          <w:sz w:val="22"/>
          <w:szCs w:val="22"/>
        </w:rPr>
        <w:t xml:space="preserve">84(3):541-567. </w:t>
      </w:r>
    </w:p>
    <w:p w14:paraId="05064BE4" w14:textId="4A2CEBD0" w:rsidR="00CE08EA" w:rsidRPr="00086D35" w:rsidRDefault="00CE08EA" w:rsidP="00CE08EA">
      <w:pPr>
        <w:spacing w:before="180" w:after="180"/>
        <w:jc w:val="both"/>
        <w:textAlignment w:val="baseline"/>
        <w:rPr>
          <w:rFonts w:ascii="Arial" w:eastAsia="Times New Roman" w:hAnsi="Arial" w:cs="Arial"/>
          <w:i/>
          <w:iCs/>
          <w:color w:val="000000"/>
          <w:sz w:val="22"/>
          <w:szCs w:val="22"/>
        </w:rPr>
      </w:pPr>
      <w:r w:rsidRPr="00CE08EA">
        <w:rPr>
          <w:rFonts w:ascii="Arial" w:eastAsia="Times New Roman" w:hAnsi="Arial" w:cs="Arial"/>
          <w:color w:val="000000"/>
          <w:sz w:val="22"/>
          <w:szCs w:val="22"/>
        </w:rPr>
        <w:t>Orbe, M.P and Kinefuchi, E (2008</w:t>
      </w:r>
      <w:r w:rsidRPr="00CE08EA">
        <w:rPr>
          <w:rFonts w:ascii="Arial" w:eastAsia="Times New Roman" w:hAnsi="Arial" w:cs="Arial"/>
          <w:i/>
          <w:iCs/>
          <w:color w:val="000000"/>
          <w:sz w:val="22"/>
          <w:szCs w:val="22"/>
        </w:rPr>
        <w:t xml:space="preserve">) </w:t>
      </w:r>
      <w:r w:rsidRPr="00CE08EA">
        <w:rPr>
          <w:rFonts w:ascii="Arial" w:eastAsia="Times New Roman" w:hAnsi="Arial" w:cs="Arial"/>
          <w:color w:val="000000"/>
          <w:sz w:val="22"/>
          <w:szCs w:val="22"/>
        </w:rPr>
        <w:t xml:space="preserve">Crash under investigation: engaging complications of complicity, </w:t>
      </w:r>
      <w:r w:rsidR="008666C1" w:rsidRPr="00CE08EA">
        <w:rPr>
          <w:rFonts w:ascii="Arial" w:eastAsia="Times New Roman" w:hAnsi="Arial" w:cs="Arial"/>
          <w:color w:val="000000"/>
          <w:sz w:val="22"/>
          <w:szCs w:val="22"/>
        </w:rPr>
        <w:t>coherence,</w:t>
      </w:r>
      <w:r w:rsidR="008666C1" w:rsidRPr="00086D35">
        <w:rPr>
          <w:rFonts w:ascii="Arial" w:eastAsia="Times New Roman" w:hAnsi="Arial" w:cs="Arial"/>
          <w:color w:val="000000"/>
          <w:sz w:val="22"/>
          <w:szCs w:val="22"/>
        </w:rPr>
        <w:t xml:space="preserve"> and</w:t>
      </w:r>
      <w:r w:rsidRPr="00086D35">
        <w:rPr>
          <w:rFonts w:ascii="Arial" w:eastAsia="Times New Roman" w:hAnsi="Arial" w:cs="Arial"/>
          <w:color w:val="000000"/>
          <w:sz w:val="22"/>
          <w:szCs w:val="22"/>
        </w:rPr>
        <w:t xml:space="preserve"> implicature through critical analysis.</w:t>
      </w:r>
      <w:r w:rsidRPr="00CE08EA">
        <w:rPr>
          <w:rFonts w:ascii="Arial" w:eastAsia="Times New Roman" w:hAnsi="Arial" w:cs="Arial"/>
          <w:i/>
          <w:iCs/>
          <w:color w:val="000000"/>
          <w:sz w:val="22"/>
          <w:szCs w:val="22"/>
        </w:rPr>
        <w:t xml:space="preserve"> Critical Studies in Media Communication 25(2): 135-156.</w:t>
      </w:r>
    </w:p>
    <w:p w14:paraId="5D9A16B5" w14:textId="77777777" w:rsidR="00036B28" w:rsidRPr="00036B28" w:rsidRDefault="00036B28" w:rsidP="00F22268">
      <w:pPr>
        <w:spacing w:before="180" w:after="180"/>
        <w:jc w:val="both"/>
        <w:textAlignment w:val="baseline"/>
        <w:rPr>
          <w:rFonts w:ascii="Arial" w:eastAsia="Times New Roman" w:hAnsi="Arial" w:cs="Arial"/>
          <w:color w:val="000000"/>
          <w:sz w:val="22"/>
          <w:szCs w:val="22"/>
        </w:rPr>
      </w:pPr>
      <w:r w:rsidRPr="00036B28">
        <w:rPr>
          <w:rFonts w:ascii="Arial" w:eastAsia="Times New Roman" w:hAnsi="Arial" w:cs="Arial"/>
          <w:color w:val="000000"/>
          <w:sz w:val="22"/>
          <w:szCs w:val="22"/>
        </w:rPr>
        <w:t>Reilly, P. and Trevisan, F. (2016) Researching protest on Facebook: developing an ethical stance for the study of Northern Irish flag protest pages</w:t>
      </w:r>
      <w:r w:rsidRPr="00036B28">
        <w:rPr>
          <w:rFonts w:ascii="Arial" w:eastAsia="Times New Roman" w:hAnsi="Arial" w:cs="Arial"/>
          <w:i/>
          <w:iCs/>
          <w:color w:val="000000"/>
          <w:sz w:val="22"/>
          <w:szCs w:val="22"/>
        </w:rPr>
        <w:t>. Information Communication and Society</w:t>
      </w:r>
      <w:r w:rsidRPr="00036B28">
        <w:rPr>
          <w:rFonts w:ascii="Arial" w:eastAsia="Times New Roman" w:hAnsi="Arial" w:cs="Arial"/>
          <w:color w:val="000000"/>
          <w:sz w:val="22"/>
          <w:szCs w:val="22"/>
        </w:rPr>
        <w:t xml:space="preserve">, 19 (3): 419-435. </w:t>
      </w:r>
    </w:p>
    <w:p w14:paraId="7B661663" w14:textId="77777777" w:rsidR="00E34B62" w:rsidRPr="00BE78F0" w:rsidRDefault="00E34B62" w:rsidP="00F22268">
      <w:pPr>
        <w:spacing w:before="180" w:after="180"/>
        <w:jc w:val="both"/>
        <w:textAlignment w:val="baseline"/>
        <w:rPr>
          <w:rFonts w:ascii="Arial" w:eastAsia="Times New Roman" w:hAnsi="Arial" w:cs="Arial"/>
          <w:color w:val="000000"/>
          <w:sz w:val="22"/>
          <w:szCs w:val="22"/>
          <w:lang w:val="en-US"/>
        </w:rPr>
      </w:pPr>
      <w:r w:rsidRPr="00BE78F0">
        <w:rPr>
          <w:rFonts w:ascii="Arial" w:eastAsia="Times New Roman" w:hAnsi="Arial" w:cs="Arial"/>
          <w:color w:val="000000"/>
          <w:sz w:val="22"/>
          <w:szCs w:val="22"/>
          <w:lang w:val="en-US"/>
        </w:rPr>
        <w:lastRenderedPageBreak/>
        <w:t>Reilly, P. (2015) </w:t>
      </w:r>
      <w:bookmarkStart w:id="1" w:name="m_-8521281010673024398_m_319998939351676"/>
      <w:r w:rsidRPr="00BE78F0">
        <w:rPr>
          <w:rFonts w:ascii="Arial" w:eastAsia="Times New Roman" w:hAnsi="Arial" w:cs="Arial"/>
          <w:color w:val="222222"/>
          <w:sz w:val="22"/>
          <w:szCs w:val="22"/>
          <w:lang w:val="en-US"/>
        </w:rPr>
        <w:t>Every Little helps? YouTube, sousveillance and the ‘anti-Tesco’ riot in Bristol</w:t>
      </w:r>
      <w:bookmarkEnd w:id="1"/>
      <w:r w:rsidRPr="00BE78F0">
        <w:rPr>
          <w:rFonts w:ascii="Arial" w:eastAsia="Times New Roman" w:hAnsi="Arial" w:cs="Arial"/>
          <w:color w:val="000000"/>
          <w:sz w:val="22"/>
          <w:szCs w:val="22"/>
          <w:lang w:val="en-US"/>
        </w:rPr>
        <w:t>, </w:t>
      </w:r>
      <w:r w:rsidRPr="00BE78F0">
        <w:rPr>
          <w:rFonts w:ascii="Arial" w:eastAsia="Times New Roman" w:hAnsi="Arial" w:cs="Arial"/>
          <w:i/>
          <w:iCs/>
          <w:color w:val="000000"/>
          <w:sz w:val="22"/>
          <w:szCs w:val="22"/>
          <w:lang w:val="en-US"/>
        </w:rPr>
        <w:t>New Media and Society. </w:t>
      </w:r>
      <w:r w:rsidRPr="00BE78F0">
        <w:rPr>
          <w:rFonts w:ascii="Arial" w:eastAsia="Times New Roman" w:hAnsi="Arial" w:cs="Arial"/>
          <w:color w:val="000000"/>
          <w:sz w:val="22"/>
          <w:szCs w:val="22"/>
          <w:lang w:val="en-US"/>
        </w:rPr>
        <w:t>17(5): 755-771.</w:t>
      </w:r>
    </w:p>
    <w:p w14:paraId="1675BEBE" w14:textId="77777777" w:rsidR="00E34B62" w:rsidRPr="00BE78F0" w:rsidRDefault="00E34B62" w:rsidP="00F22268">
      <w:pPr>
        <w:spacing w:before="180" w:after="180"/>
        <w:jc w:val="both"/>
        <w:textAlignment w:val="baseline"/>
        <w:rPr>
          <w:rFonts w:ascii="Arial" w:eastAsia="Times New Roman" w:hAnsi="Arial" w:cs="Arial"/>
          <w:color w:val="000000"/>
          <w:sz w:val="22"/>
          <w:szCs w:val="22"/>
          <w:lang w:val="en-US"/>
        </w:rPr>
      </w:pPr>
      <w:r w:rsidRPr="00BE78F0">
        <w:rPr>
          <w:rFonts w:ascii="Arial" w:eastAsia="Times New Roman" w:hAnsi="Arial" w:cs="Arial"/>
          <w:color w:val="000000"/>
          <w:sz w:val="22"/>
          <w:szCs w:val="22"/>
          <w:lang w:val="en-US"/>
        </w:rPr>
        <w:t xml:space="preserve">Reilly, P. (2014) The ‘Battle of Stokes Croft’ on YouTube: The development of an ethical stance for the study of online comments, </w:t>
      </w:r>
      <w:r w:rsidRPr="00BE78F0">
        <w:rPr>
          <w:rFonts w:ascii="Arial" w:eastAsia="Times New Roman" w:hAnsi="Arial" w:cs="Arial"/>
          <w:i/>
          <w:iCs/>
          <w:color w:val="000000"/>
          <w:sz w:val="22"/>
          <w:szCs w:val="22"/>
          <w:lang w:val="en-US"/>
        </w:rPr>
        <w:t>SAGE Cases in Methodology</w:t>
      </w:r>
      <w:r w:rsidRPr="00BE78F0">
        <w:rPr>
          <w:rFonts w:ascii="Arial" w:eastAsia="Times New Roman" w:hAnsi="Arial" w:cs="Arial"/>
          <w:color w:val="000000"/>
          <w:sz w:val="22"/>
          <w:szCs w:val="22"/>
          <w:lang w:val="en-US"/>
        </w:rPr>
        <w:t xml:space="preserve">, </w:t>
      </w:r>
      <w:r w:rsidRPr="00BE78F0">
        <w:rPr>
          <w:rFonts w:ascii="Arial" w:eastAsia="Times New Roman" w:hAnsi="Arial" w:cs="Arial"/>
          <w:b/>
          <w:bCs/>
          <w:color w:val="000000"/>
          <w:sz w:val="22"/>
          <w:szCs w:val="22"/>
          <w:lang w:val="en-US"/>
        </w:rPr>
        <w:t>DOI:</w:t>
      </w:r>
      <w:r w:rsidRPr="00BE78F0">
        <w:rPr>
          <w:rFonts w:ascii="Arial" w:eastAsia="Times New Roman" w:hAnsi="Arial" w:cs="Arial"/>
          <w:color w:val="000000"/>
          <w:sz w:val="22"/>
          <w:szCs w:val="22"/>
          <w:lang w:val="en-US"/>
        </w:rPr>
        <w:t xml:space="preserve"> </w:t>
      </w:r>
      <w:hyperlink r:id="rId12" w:history="1">
        <w:r w:rsidRPr="00BE78F0">
          <w:rPr>
            <w:rStyle w:val="Hyperlink"/>
            <w:rFonts w:ascii="Arial" w:eastAsia="Times New Roman" w:hAnsi="Arial" w:cs="Arial"/>
            <w:sz w:val="22"/>
            <w:szCs w:val="22"/>
            <w:lang w:val="en-US"/>
          </w:rPr>
          <w:t>http://dx.doi.org/10.4135/978144627305013509209</w:t>
        </w:r>
      </w:hyperlink>
      <w:r w:rsidRPr="00BE78F0">
        <w:rPr>
          <w:rFonts w:ascii="Arial" w:eastAsia="Times New Roman" w:hAnsi="Arial" w:cs="Arial"/>
          <w:color w:val="000000"/>
          <w:sz w:val="22"/>
          <w:szCs w:val="22"/>
        </w:rPr>
        <w:t xml:space="preserve">  [10 Jan 2018]</w:t>
      </w:r>
    </w:p>
    <w:p w14:paraId="3E232C5B" w14:textId="77777777" w:rsidR="00E34B62" w:rsidRDefault="00E34B62" w:rsidP="00F22268">
      <w:pPr>
        <w:spacing w:before="180" w:after="180"/>
        <w:jc w:val="both"/>
        <w:textAlignment w:val="baseline"/>
        <w:rPr>
          <w:rFonts w:ascii="Arial" w:eastAsia="Times New Roman" w:hAnsi="Arial" w:cs="Arial"/>
          <w:color w:val="000000"/>
          <w:sz w:val="22"/>
          <w:szCs w:val="22"/>
        </w:rPr>
      </w:pPr>
      <w:r w:rsidRPr="00B7781B">
        <w:rPr>
          <w:rFonts w:ascii="Arial" w:eastAsia="Times New Roman" w:hAnsi="Arial" w:cs="Arial"/>
          <w:color w:val="000000"/>
          <w:sz w:val="22"/>
          <w:szCs w:val="22"/>
        </w:rPr>
        <w:t xml:space="preserve">Richardson, A. (2020) </w:t>
      </w:r>
      <w:r w:rsidRPr="00B7781B">
        <w:rPr>
          <w:rFonts w:ascii="Arial" w:eastAsia="Times New Roman" w:hAnsi="Arial" w:cs="Arial"/>
          <w:i/>
          <w:iCs/>
          <w:color w:val="000000"/>
          <w:sz w:val="22"/>
          <w:szCs w:val="22"/>
        </w:rPr>
        <w:t>Bearing Witness While Black: African Americans, Smartphones, and the New Protest #Journalism</w:t>
      </w:r>
      <w:r w:rsidRPr="00B7781B">
        <w:rPr>
          <w:rFonts w:ascii="Arial" w:eastAsia="Times New Roman" w:hAnsi="Arial" w:cs="Arial"/>
          <w:color w:val="000000"/>
          <w:sz w:val="22"/>
          <w:szCs w:val="22"/>
        </w:rPr>
        <w:t>, Oxford: Oxford University Press.</w:t>
      </w:r>
    </w:p>
    <w:p w14:paraId="666974C6" w14:textId="77777777" w:rsidR="00E34B62" w:rsidRDefault="00E34B62" w:rsidP="00F22268">
      <w:pPr>
        <w:spacing w:before="180" w:after="180"/>
        <w:jc w:val="both"/>
        <w:textAlignment w:val="baseline"/>
        <w:rPr>
          <w:rFonts w:ascii="Arial" w:eastAsia="Times New Roman" w:hAnsi="Arial" w:cs="Arial"/>
          <w:color w:val="000000"/>
          <w:sz w:val="22"/>
          <w:szCs w:val="22"/>
        </w:rPr>
      </w:pPr>
      <w:r w:rsidRPr="00404FE5">
        <w:rPr>
          <w:rFonts w:ascii="Arial" w:eastAsia="Times New Roman" w:hAnsi="Arial" w:cs="Arial"/>
          <w:color w:val="000000"/>
          <w:sz w:val="22"/>
          <w:szCs w:val="22"/>
        </w:rPr>
        <w:t>Singh,</w:t>
      </w:r>
      <w:r>
        <w:rPr>
          <w:rFonts w:ascii="Arial" w:eastAsia="Times New Roman" w:hAnsi="Arial" w:cs="Arial"/>
          <w:color w:val="000000"/>
          <w:sz w:val="22"/>
          <w:szCs w:val="22"/>
        </w:rPr>
        <w:t xml:space="preserve"> A.</w:t>
      </w:r>
      <w:r w:rsidRPr="00404FE5">
        <w:rPr>
          <w:rFonts w:ascii="Arial" w:eastAsia="Times New Roman" w:hAnsi="Arial" w:cs="Arial"/>
          <w:color w:val="000000"/>
          <w:sz w:val="22"/>
          <w:szCs w:val="22"/>
        </w:rPr>
        <w:t xml:space="preserve"> </w:t>
      </w:r>
      <w:r>
        <w:rPr>
          <w:rFonts w:ascii="Arial" w:eastAsia="Times New Roman" w:hAnsi="Arial" w:cs="Arial"/>
          <w:color w:val="000000"/>
          <w:sz w:val="22"/>
          <w:szCs w:val="22"/>
        </w:rPr>
        <w:t>(</w:t>
      </w:r>
      <w:r w:rsidRPr="00404FE5">
        <w:rPr>
          <w:rFonts w:ascii="Arial" w:eastAsia="Times New Roman" w:hAnsi="Arial" w:cs="Arial"/>
          <w:color w:val="000000"/>
          <w:sz w:val="22"/>
          <w:szCs w:val="22"/>
        </w:rPr>
        <w:t>2017</w:t>
      </w:r>
      <w:r>
        <w:rPr>
          <w:rFonts w:ascii="Arial" w:eastAsia="Times New Roman" w:hAnsi="Arial" w:cs="Arial"/>
          <w:color w:val="000000"/>
          <w:sz w:val="22"/>
          <w:szCs w:val="22"/>
        </w:rPr>
        <w:t>)</w:t>
      </w:r>
      <w:r w:rsidRPr="00404FE5">
        <w:rPr>
          <w:rFonts w:ascii="Arial" w:eastAsia="Times New Roman" w:hAnsi="Arial" w:cs="Arial"/>
          <w:color w:val="000000"/>
          <w:sz w:val="22"/>
          <w:szCs w:val="22"/>
        </w:rPr>
        <w:t xml:space="preserve"> “Anticipatory Citizen Surveillance of the Police,” </w:t>
      </w:r>
      <w:r w:rsidRPr="00404FE5">
        <w:rPr>
          <w:rFonts w:ascii="Arial" w:eastAsia="Times New Roman" w:hAnsi="Arial" w:cs="Arial"/>
          <w:i/>
          <w:iCs/>
          <w:color w:val="000000"/>
          <w:sz w:val="22"/>
          <w:szCs w:val="22"/>
        </w:rPr>
        <w:t>Surveillance &amp; Society</w:t>
      </w:r>
      <w:r w:rsidRPr="00404FE5">
        <w:rPr>
          <w:rFonts w:ascii="Arial" w:eastAsia="Times New Roman" w:hAnsi="Arial" w:cs="Arial"/>
          <w:color w:val="000000"/>
          <w:sz w:val="22"/>
          <w:szCs w:val="22"/>
        </w:rPr>
        <w:t>, 15</w:t>
      </w:r>
      <w:r>
        <w:rPr>
          <w:rFonts w:ascii="Arial" w:eastAsia="Times New Roman" w:hAnsi="Arial" w:cs="Arial"/>
          <w:color w:val="000000"/>
          <w:sz w:val="22"/>
          <w:szCs w:val="22"/>
        </w:rPr>
        <w:t>(</w:t>
      </w:r>
      <w:r w:rsidRPr="00404FE5">
        <w:rPr>
          <w:rFonts w:ascii="Arial" w:eastAsia="Times New Roman" w:hAnsi="Arial" w:cs="Arial"/>
          <w:color w:val="000000"/>
          <w:sz w:val="22"/>
          <w:szCs w:val="22"/>
        </w:rPr>
        <w:t>5</w:t>
      </w:r>
      <w:r>
        <w:rPr>
          <w:rFonts w:ascii="Arial" w:eastAsia="Times New Roman" w:hAnsi="Arial" w:cs="Arial"/>
          <w:color w:val="000000"/>
          <w:sz w:val="22"/>
          <w:szCs w:val="22"/>
        </w:rPr>
        <w:t xml:space="preserve">): </w:t>
      </w:r>
      <w:r w:rsidRPr="00404FE5">
        <w:rPr>
          <w:rFonts w:ascii="Arial" w:eastAsia="Times New Roman" w:hAnsi="Arial" w:cs="Arial"/>
          <w:color w:val="000000"/>
          <w:sz w:val="22"/>
          <w:szCs w:val="22"/>
        </w:rPr>
        <w:t>676-688.</w:t>
      </w:r>
    </w:p>
    <w:p w14:paraId="76B1C856" w14:textId="77777777" w:rsidR="00086D35" w:rsidRDefault="00086D35" w:rsidP="00F22268">
      <w:pPr>
        <w:spacing w:before="180" w:after="180"/>
        <w:jc w:val="both"/>
        <w:textAlignment w:val="baseline"/>
        <w:rPr>
          <w:rFonts w:ascii="Arial" w:eastAsia="Times New Roman" w:hAnsi="Arial" w:cs="Arial"/>
          <w:color w:val="000000"/>
          <w:sz w:val="22"/>
          <w:szCs w:val="22"/>
        </w:rPr>
      </w:pPr>
      <w:r w:rsidRPr="00086D35">
        <w:rPr>
          <w:rFonts w:ascii="Arial" w:eastAsia="Times New Roman" w:hAnsi="Arial" w:cs="Arial"/>
          <w:color w:val="000000"/>
          <w:sz w:val="22"/>
          <w:szCs w:val="22"/>
        </w:rPr>
        <w:t>Veletsianos G, Houlden S, Hodson J, Gosse C. Women scholars’ experiences with online harassment and abuse: Self-protection, resistance, acceptance, and self-blame. New Media &amp; Society. 2018;20(12):4689–4708</w:t>
      </w:r>
      <w:r>
        <w:rPr>
          <w:rFonts w:ascii="Arial" w:eastAsia="Times New Roman" w:hAnsi="Arial" w:cs="Arial"/>
          <w:color w:val="000000"/>
          <w:sz w:val="22"/>
          <w:szCs w:val="22"/>
        </w:rPr>
        <w:t>.</w:t>
      </w:r>
    </w:p>
    <w:p w14:paraId="1D5F877A" w14:textId="77777777" w:rsidR="0024756D" w:rsidRDefault="0024756D" w:rsidP="00F22268">
      <w:pPr>
        <w:spacing w:before="180" w:after="180"/>
        <w:jc w:val="both"/>
        <w:textAlignment w:val="baseline"/>
        <w:rPr>
          <w:rFonts w:ascii="Arial" w:eastAsia="Times New Roman" w:hAnsi="Arial" w:cs="Arial"/>
          <w:color w:val="000000"/>
          <w:sz w:val="22"/>
          <w:szCs w:val="22"/>
        </w:rPr>
      </w:pPr>
      <w:r w:rsidRPr="0024756D">
        <w:rPr>
          <w:rFonts w:ascii="Arial" w:eastAsia="Times New Roman" w:hAnsi="Arial" w:cs="Arial"/>
          <w:color w:val="000000"/>
          <w:sz w:val="22"/>
          <w:szCs w:val="22"/>
        </w:rPr>
        <w:t xml:space="preserve">Whiteman, N. (2012) </w:t>
      </w:r>
      <w:r w:rsidRPr="0024756D">
        <w:rPr>
          <w:rFonts w:ascii="Arial" w:eastAsia="Times New Roman" w:hAnsi="Arial" w:cs="Arial"/>
          <w:i/>
          <w:iCs/>
          <w:color w:val="000000"/>
          <w:sz w:val="22"/>
          <w:szCs w:val="22"/>
        </w:rPr>
        <w:t>Undoing Ethics: Rethinking Practice in Online Research</w:t>
      </w:r>
      <w:r w:rsidRPr="0024756D">
        <w:rPr>
          <w:rFonts w:ascii="Arial" w:eastAsia="Times New Roman" w:hAnsi="Arial" w:cs="Arial"/>
          <w:color w:val="000000"/>
          <w:sz w:val="22"/>
          <w:szCs w:val="22"/>
        </w:rPr>
        <w:t xml:space="preserve">. New York: Springer. </w:t>
      </w:r>
    </w:p>
    <w:p w14:paraId="74DD0D16" w14:textId="77777777" w:rsidR="00E42848" w:rsidRPr="00E42848" w:rsidRDefault="00E42848" w:rsidP="00E42848">
      <w:pPr>
        <w:spacing w:before="180" w:after="180"/>
        <w:jc w:val="both"/>
        <w:textAlignment w:val="baseline"/>
        <w:rPr>
          <w:rFonts w:ascii="Arial" w:eastAsia="Times New Roman" w:hAnsi="Arial" w:cs="Arial"/>
          <w:color w:val="000000"/>
          <w:sz w:val="22"/>
          <w:szCs w:val="22"/>
        </w:rPr>
      </w:pPr>
      <w:r w:rsidRPr="00E42848">
        <w:rPr>
          <w:rFonts w:ascii="Arial" w:eastAsia="Times New Roman" w:hAnsi="Arial" w:cs="Arial"/>
          <w:color w:val="000000"/>
          <w:sz w:val="22"/>
          <w:szCs w:val="22"/>
        </w:rPr>
        <w:t>Williams, M.L., Burnap, P., and Sloan, L. (2017) Towards an Ethical Framework for Publishing Twitter Data in Social Research: Taking into Account Users’ Views, Online Context and Algorithmic Estimation, Sociology 51(6):1149-1168.</w:t>
      </w:r>
    </w:p>
    <w:p w14:paraId="5F4C06EB" w14:textId="77777777" w:rsidR="00AA30C7" w:rsidRDefault="00AA30C7" w:rsidP="00F22268">
      <w:pPr>
        <w:spacing w:before="180" w:after="180"/>
        <w:jc w:val="both"/>
        <w:textAlignment w:val="baseline"/>
        <w:rPr>
          <w:rFonts w:ascii="Arial" w:eastAsia="Times New Roman" w:hAnsi="Arial" w:cs="Arial"/>
          <w:color w:val="000000"/>
          <w:sz w:val="22"/>
          <w:szCs w:val="22"/>
        </w:rPr>
      </w:pPr>
      <w:r w:rsidRPr="00AA30C7">
        <w:rPr>
          <w:rFonts w:ascii="Arial" w:eastAsia="Times New Roman" w:hAnsi="Arial" w:cs="Arial"/>
          <w:color w:val="000000"/>
          <w:sz w:val="22"/>
          <w:szCs w:val="22"/>
        </w:rPr>
        <w:t>YouTube (2012) Terms of Service Available</w:t>
      </w:r>
      <w:r>
        <w:rPr>
          <w:rFonts w:ascii="Arial" w:eastAsia="Times New Roman" w:hAnsi="Arial" w:cs="Arial"/>
          <w:color w:val="000000"/>
          <w:sz w:val="22"/>
          <w:szCs w:val="22"/>
        </w:rPr>
        <w:t xml:space="preserve"> </w:t>
      </w:r>
      <w:r w:rsidRPr="00AA30C7">
        <w:rPr>
          <w:rFonts w:ascii="Arial" w:eastAsia="Times New Roman" w:hAnsi="Arial" w:cs="Arial"/>
          <w:color w:val="000000"/>
          <w:sz w:val="22"/>
          <w:szCs w:val="22"/>
        </w:rPr>
        <w:t>at:www.YouTube.com/static?gl=US&amp;template=terms [Accessed 10 May 2012]</w:t>
      </w:r>
    </w:p>
    <w:p w14:paraId="02B23E04" w14:textId="77777777" w:rsidR="00E34B62" w:rsidRPr="00BE78F0" w:rsidRDefault="00E34B62" w:rsidP="00F22268">
      <w:pPr>
        <w:jc w:val="both"/>
        <w:rPr>
          <w:rFonts w:ascii="Arial" w:hAnsi="Arial" w:cs="Arial"/>
          <w:sz w:val="22"/>
          <w:szCs w:val="22"/>
        </w:rPr>
      </w:pPr>
    </w:p>
    <w:p w14:paraId="0B01CE5D" w14:textId="77777777" w:rsidR="00E34B62" w:rsidRPr="00BE78F0" w:rsidRDefault="00E34B62" w:rsidP="00F22268">
      <w:pPr>
        <w:jc w:val="both"/>
        <w:rPr>
          <w:rFonts w:ascii="Arial" w:hAnsi="Arial" w:cs="Arial"/>
          <w:sz w:val="22"/>
          <w:szCs w:val="22"/>
        </w:rPr>
      </w:pPr>
    </w:p>
    <w:p w14:paraId="5F566E06" w14:textId="77777777" w:rsidR="00E34B62" w:rsidRPr="00BE78F0" w:rsidRDefault="00E34B62" w:rsidP="00F22268">
      <w:pPr>
        <w:jc w:val="both"/>
        <w:rPr>
          <w:rFonts w:ascii="Arial" w:hAnsi="Arial" w:cs="Arial"/>
          <w:sz w:val="22"/>
          <w:szCs w:val="22"/>
        </w:rPr>
      </w:pPr>
    </w:p>
    <w:p w14:paraId="11C7BB68" w14:textId="77777777" w:rsidR="00E34B62" w:rsidRDefault="00E34B62" w:rsidP="00F22268">
      <w:pPr>
        <w:jc w:val="both"/>
        <w:rPr>
          <w:color w:val="000000"/>
        </w:rPr>
      </w:pPr>
    </w:p>
    <w:p w14:paraId="366D4A2A" w14:textId="77777777" w:rsidR="00652801" w:rsidRPr="00E36186" w:rsidRDefault="00652801" w:rsidP="00F22268">
      <w:pPr>
        <w:jc w:val="both"/>
        <w:rPr>
          <w:color w:val="000000"/>
        </w:rPr>
      </w:pPr>
    </w:p>
    <w:sectPr w:rsidR="00652801" w:rsidRPr="00E36186" w:rsidSect="00035631">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Reilly" w:date="2025-02-16T11:07:00Z" w:initials="SR">
    <w:p w14:paraId="0D97CB86" w14:textId="01154263" w:rsidR="000C5165" w:rsidRDefault="000C5165">
      <w:pPr>
        <w:pStyle w:val="CommentText"/>
      </w:pPr>
      <w:r>
        <w:rPr>
          <w:rStyle w:val="CommentReference"/>
        </w:rPr>
        <w:annotationRef/>
      </w:r>
      <w:r>
        <w:t>Do need this word and also ‘investigation’?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97CB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97CB86" w16cid:durableId="2B5C45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35AE" w14:textId="77777777" w:rsidR="0046640E" w:rsidRDefault="0046640E" w:rsidP="00EF4EE9">
      <w:r>
        <w:separator/>
      </w:r>
    </w:p>
  </w:endnote>
  <w:endnote w:type="continuationSeparator" w:id="0">
    <w:p w14:paraId="2422D3A8" w14:textId="77777777" w:rsidR="0046640E" w:rsidRDefault="0046640E" w:rsidP="00EF4EE9">
      <w:r>
        <w:continuationSeparator/>
      </w:r>
    </w:p>
  </w:endnote>
  <w:endnote w:id="1">
    <w:p w14:paraId="03C44676" w14:textId="77777777" w:rsidR="00EF4EE9" w:rsidRDefault="00EF4EE9">
      <w:pPr>
        <w:pStyle w:val="EndnoteText"/>
      </w:pPr>
      <w:r>
        <w:rPr>
          <w:rStyle w:val="EndnoteReference"/>
        </w:rPr>
        <w:endnoteRef/>
      </w:r>
      <w:r>
        <w:t xml:space="preserve"> For an overview of the OA requirements for REF 2021, please see here: </w:t>
      </w:r>
      <w:hyperlink r:id="rId1" w:history="1">
        <w:r w:rsidRPr="00004C85">
          <w:rPr>
            <w:rStyle w:val="Hyperlink"/>
          </w:rPr>
          <w:t>https://2021.ref.ac.uk/media/1228/open_access_summary__v1_0.pdf</w:t>
        </w:r>
      </w:hyperlink>
      <w:r>
        <w:t xml:space="preserve"> (accessed 10 January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E15C" w14:textId="77777777" w:rsidR="0046640E" w:rsidRDefault="0046640E" w:rsidP="00EF4EE9">
      <w:r>
        <w:separator/>
      </w:r>
    </w:p>
  </w:footnote>
  <w:footnote w:type="continuationSeparator" w:id="0">
    <w:p w14:paraId="018E0FEF" w14:textId="77777777" w:rsidR="0046640E" w:rsidRDefault="0046640E" w:rsidP="00EF4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B1955"/>
    <w:multiLevelType w:val="hybridMultilevel"/>
    <w:tmpl w:val="2B16451A"/>
    <w:lvl w:ilvl="0" w:tplc="8CC85E08">
      <w:start w:val="1"/>
      <w:numFmt w:val="bullet"/>
      <w:lvlText w:val="•"/>
      <w:lvlJc w:val="left"/>
      <w:pPr>
        <w:tabs>
          <w:tab w:val="num" w:pos="720"/>
        </w:tabs>
        <w:ind w:left="720" w:hanging="360"/>
      </w:pPr>
      <w:rPr>
        <w:rFonts w:ascii="Times New Roman" w:hAnsi="Times New Roman" w:hint="default"/>
      </w:rPr>
    </w:lvl>
    <w:lvl w:ilvl="1" w:tplc="F30E0796" w:tentative="1">
      <w:start w:val="1"/>
      <w:numFmt w:val="bullet"/>
      <w:lvlText w:val="•"/>
      <w:lvlJc w:val="left"/>
      <w:pPr>
        <w:tabs>
          <w:tab w:val="num" w:pos="1440"/>
        </w:tabs>
        <w:ind w:left="1440" w:hanging="360"/>
      </w:pPr>
      <w:rPr>
        <w:rFonts w:ascii="Times New Roman" w:hAnsi="Times New Roman" w:hint="default"/>
      </w:rPr>
    </w:lvl>
    <w:lvl w:ilvl="2" w:tplc="42900842" w:tentative="1">
      <w:start w:val="1"/>
      <w:numFmt w:val="bullet"/>
      <w:lvlText w:val="•"/>
      <w:lvlJc w:val="left"/>
      <w:pPr>
        <w:tabs>
          <w:tab w:val="num" w:pos="2160"/>
        </w:tabs>
        <w:ind w:left="2160" w:hanging="360"/>
      </w:pPr>
      <w:rPr>
        <w:rFonts w:ascii="Times New Roman" w:hAnsi="Times New Roman" w:hint="default"/>
      </w:rPr>
    </w:lvl>
    <w:lvl w:ilvl="3" w:tplc="152A703C" w:tentative="1">
      <w:start w:val="1"/>
      <w:numFmt w:val="bullet"/>
      <w:lvlText w:val="•"/>
      <w:lvlJc w:val="left"/>
      <w:pPr>
        <w:tabs>
          <w:tab w:val="num" w:pos="2880"/>
        </w:tabs>
        <w:ind w:left="2880" w:hanging="360"/>
      </w:pPr>
      <w:rPr>
        <w:rFonts w:ascii="Times New Roman" w:hAnsi="Times New Roman" w:hint="default"/>
      </w:rPr>
    </w:lvl>
    <w:lvl w:ilvl="4" w:tplc="1DC6A1D8" w:tentative="1">
      <w:start w:val="1"/>
      <w:numFmt w:val="bullet"/>
      <w:lvlText w:val="•"/>
      <w:lvlJc w:val="left"/>
      <w:pPr>
        <w:tabs>
          <w:tab w:val="num" w:pos="3600"/>
        </w:tabs>
        <w:ind w:left="3600" w:hanging="360"/>
      </w:pPr>
      <w:rPr>
        <w:rFonts w:ascii="Times New Roman" w:hAnsi="Times New Roman" w:hint="default"/>
      </w:rPr>
    </w:lvl>
    <w:lvl w:ilvl="5" w:tplc="814CE170" w:tentative="1">
      <w:start w:val="1"/>
      <w:numFmt w:val="bullet"/>
      <w:lvlText w:val="•"/>
      <w:lvlJc w:val="left"/>
      <w:pPr>
        <w:tabs>
          <w:tab w:val="num" w:pos="4320"/>
        </w:tabs>
        <w:ind w:left="4320" w:hanging="360"/>
      </w:pPr>
      <w:rPr>
        <w:rFonts w:ascii="Times New Roman" w:hAnsi="Times New Roman" w:hint="default"/>
      </w:rPr>
    </w:lvl>
    <w:lvl w:ilvl="6" w:tplc="42447EC6" w:tentative="1">
      <w:start w:val="1"/>
      <w:numFmt w:val="bullet"/>
      <w:lvlText w:val="•"/>
      <w:lvlJc w:val="left"/>
      <w:pPr>
        <w:tabs>
          <w:tab w:val="num" w:pos="5040"/>
        </w:tabs>
        <w:ind w:left="5040" w:hanging="360"/>
      </w:pPr>
      <w:rPr>
        <w:rFonts w:ascii="Times New Roman" w:hAnsi="Times New Roman" w:hint="default"/>
      </w:rPr>
    </w:lvl>
    <w:lvl w:ilvl="7" w:tplc="FED4D9F2" w:tentative="1">
      <w:start w:val="1"/>
      <w:numFmt w:val="bullet"/>
      <w:lvlText w:val="•"/>
      <w:lvlJc w:val="left"/>
      <w:pPr>
        <w:tabs>
          <w:tab w:val="num" w:pos="5760"/>
        </w:tabs>
        <w:ind w:left="5760" w:hanging="360"/>
      </w:pPr>
      <w:rPr>
        <w:rFonts w:ascii="Times New Roman" w:hAnsi="Times New Roman" w:hint="default"/>
      </w:rPr>
    </w:lvl>
    <w:lvl w:ilvl="8" w:tplc="AE48AD22" w:tentative="1">
      <w:start w:val="1"/>
      <w:numFmt w:val="bullet"/>
      <w:lvlText w:val="•"/>
      <w:lvlJc w:val="left"/>
      <w:pPr>
        <w:tabs>
          <w:tab w:val="num" w:pos="6480"/>
        </w:tabs>
        <w:ind w:left="6480" w:hanging="360"/>
      </w:pPr>
      <w:rPr>
        <w:rFonts w:ascii="Times New Roman" w:hAnsi="Times New Roman" w:hint="default"/>
      </w:rPr>
    </w:lvl>
  </w:abstractNum>
  <w:num w:numId="1" w16cid:durableId="17681175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Reilly">
    <w15:presenceInfo w15:providerId="AD" w15:userId="S::sreilly@citizensadvicemidmercia.org.uk::9658669f-a3da-4790-8794-e04cdf717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3D"/>
    <w:rsid w:val="000330EE"/>
    <w:rsid w:val="00035631"/>
    <w:rsid w:val="00036B28"/>
    <w:rsid w:val="00043692"/>
    <w:rsid w:val="00057686"/>
    <w:rsid w:val="00086D35"/>
    <w:rsid w:val="000C5165"/>
    <w:rsid w:val="000D4EA8"/>
    <w:rsid w:val="001052A9"/>
    <w:rsid w:val="00115637"/>
    <w:rsid w:val="00120713"/>
    <w:rsid w:val="00124E00"/>
    <w:rsid w:val="00150006"/>
    <w:rsid w:val="0016643A"/>
    <w:rsid w:val="001905F4"/>
    <w:rsid w:val="001F217F"/>
    <w:rsid w:val="00240802"/>
    <w:rsid w:val="0024756D"/>
    <w:rsid w:val="0025401F"/>
    <w:rsid w:val="002771C2"/>
    <w:rsid w:val="002877F8"/>
    <w:rsid w:val="002B1A75"/>
    <w:rsid w:val="002C6CF5"/>
    <w:rsid w:val="002E4E19"/>
    <w:rsid w:val="002F31FB"/>
    <w:rsid w:val="002F4650"/>
    <w:rsid w:val="00307AB1"/>
    <w:rsid w:val="00313533"/>
    <w:rsid w:val="003308BA"/>
    <w:rsid w:val="00334583"/>
    <w:rsid w:val="0033485B"/>
    <w:rsid w:val="003A1557"/>
    <w:rsid w:val="003B4F8F"/>
    <w:rsid w:val="003E0835"/>
    <w:rsid w:val="004450BE"/>
    <w:rsid w:val="0046640E"/>
    <w:rsid w:val="0047432F"/>
    <w:rsid w:val="00492CE7"/>
    <w:rsid w:val="00496634"/>
    <w:rsid w:val="004B2DF1"/>
    <w:rsid w:val="004C71F5"/>
    <w:rsid w:val="004D1A0D"/>
    <w:rsid w:val="004F32F7"/>
    <w:rsid w:val="005001AD"/>
    <w:rsid w:val="00576DCE"/>
    <w:rsid w:val="005A09DF"/>
    <w:rsid w:val="005C05D9"/>
    <w:rsid w:val="005D4D84"/>
    <w:rsid w:val="005D6020"/>
    <w:rsid w:val="005E3244"/>
    <w:rsid w:val="00626396"/>
    <w:rsid w:val="00643F54"/>
    <w:rsid w:val="00652801"/>
    <w:rsid w:val="006752B6"/>
    <w:rsid w:val="00686B7C"/>
    <w:rsid w:val="00694D87"/>
    <w:rsid w:val="00695EB4"/>
    <w:rsid w:val="006E50E5"/>
    <w:rsid w:val="006F754F"/>
    <w:rsid w:val="0070736F"/>
    <w:rsid w:val="0071698B"/>
    <w:rsid w:val="007302E3"/>
    <w:rsid w:val="00746EEB"/>
    <w:rsid w:val="00772DAA"/>
    <w:rsid w:val="00783F75"/>
    <w:rsid w:val="0079093D"/>
    <w:rsid w:val="0079378B"/>
    <w:rsid w:val="00856F87"/>
    <w:rsid w:val="008666C1"/>
    <w:rsid w:val="008B547B"/>
    <w:rsid w:val="008D3399"/>
    <w:rsid w:val="008D63FF"/>
    <w:rsid w:val="008E644E"/>
    <w:rsid w:val="008F7CC3"/>
    <w:rsid w:val="0096477C"/>
    <w:rsid w:val="009668C7"/>
    <w:rsid w:val="009C3FBB"/>
    <w:rsid w:val="009D74EC"/>
    <w:rsid w:val="00A0359B"/>
    <w:rsid w:val="00A06C31"/>
    <w:rsid w:val="00A23BA8"/>
    <w:rsid w:val="00A4620B"/>
    <w:rsid w:val="00A553D0"/>
    <w:rsid w:val="00AA30C7"/>
    <w:rsid w:val="00B10D3B"/>
    <w:rsid w:val="00B1609C"/>
    <w:rsid w:val="00B31EF7"/>
    <w:rsid w:val="00B348FE"/>
    <w:rsid w:val="00B37E3D"/>
    <w:rsid w:val="00B62A51"/>
    <w:rsid w:val="00BE70C9"/>
    <w:rsid w:val="00C02CAB"/>
    <w:rsid w:val="00C36A3E"/>
    <w:rsid w:val="00C72CF9"/>
    <w:rsid w:val="00C96041"/>
    <w:rsid w:val="00CC7C0A"/>
    <w:rsid w:val="00CD51FC"/>
    <w:rsid w:val="00CD7321"/>
    <w:rsid w:val="00CE08EA"/>
    <w:rsid w:val="00CE44F4"/>
    <w:rsid w:val="00CE72EF"/>
    <w:rsid w:val="00D12480"/>
    <w:rsid w:val="00D571E7"/>
    <w:rsid w:val="00D63153"/>
    <w:rsid w:val="00D80288"/>
    <w:rsid w:val="00DB3731"/>
    <w:rsid w:val="00DB736D"/>
    <w:rsid w:val="00DC62D4"/>
    <w:rsid w:val="00E14549"/>
    <w:rsid w:val="00E34B62"/>
    <w:rsid w:val="00E36186"/>
    <w:rsid w:val="00E42848"/>
    <w:rsid w:val="00E55B08"/>
    <w:rsid w:val="00E60E2B"/>
    <w:rsid w:val="00E73D9A"/>
    <w:rsid w:val="00E82673"/>
    <w:rsid w:val="00E934EA"/>
    <w:rsid w:val="00EA2227"/>
    <w:rsid w:val="00EF4EE9"/>
    <w:rsid w:val="00F0115E"/>
    <w:rsid w:val="00F22268"/>
    <w:rsid w:val="00F56159"/>
    <w:rsid w:val="00F64626"/>
    <w:rsid w:val="00F90C52"/>
    <w:rsid w:val="00FB0954"/>
    <w:rsid w:val="00FB1D37"/>
    <w:rsid w:val="00FC6A18"/>
    <w:rsid w:val="00FD7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EDCD"/>
  <w15:docId w15:val="{7AE31D04-D9D4-BD4A-872E-328408D2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4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6186"/>
  </w:style>
  <w:style w:type="paragraph" w:styleId="NormalWeb">
    <w:name w:val="Normal (Web)"/>
    <w:basedOn w:val="Normal"/>
    <w:uiPriority w:val="99"/>
    <w:unhideWhenUsed/>
    <w:rsid w:val="00E34B6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rsid w:val="00E34B62"/>
    <w:rPr>
      <w:color w:val="0000FF"/>
      <w:u w:val="single"/>
    </w:rPr>
  </w:style>
  <w:style w:type="character" w:styleId="UnresolvedMention">
    <w:name w:val="Unresolved Mention"/>
    <w:basedOn w:val="DefaultParagraphFont"/>
    <w:uiPriority w:val="99"/>
    <w:rsid w:val="002E4E19"/>
    <w:rPr>
      <w:color w:val="605E5C"/>
      <w:shd w:val="clear" w:color="auto" w:fill="E1DFDD"/>
    </w:rPr>
  </w:style>
  <w:style w:type="paragraph" w:styleId="EndnoteText">
    <w:name w:val="endnote text"/>
    <w:basedOn w:val="Normal"/>
    <w:link w:val="EndnoteTextChar"/>
    <w:uiPriority w:val="99"/>
    <w:semiHidden/>
    <w:unhideWhenUsed/>
    <w:rsid w:val="00EF4EE9"/>
    <w:rPr>
      <w:sz w:val="20"/>
      <w:szCs w:val="20"/>
    </w:rPr>
  </w:style>
  <w:style w:type="character" w:customStyle="1" w:styleId="EndnoteTextChar">
    <w:name w:val="Endnote Text Char"/>
    <w:basedOn w:val="DefaultParagraphFont"/>
    <w:link w:val="EndnoteText"/>
    <w:uiPriority w:val="99"/>
    <w:semiHidden/>
    <w:rsid w:val="00EF4EE9"/>
    <w:rPr>
      <w:sz w:val="20"/>
      <w:szCs w:val="20"/>
    </w:rPr>
  </w:style>
  <w:style w:type="character" w:styleId="EndnoteReference">
    <w:name w:val="endnote reference"/>
    <w:basedOn w:val="DefaultParagraphFont"/>
    <w:uiPriority w:val="99"/>
    <w:semiHidden/>
    <w:unhideWhenUsed/>
    <w:rsid w:val="00EF4EE9"/>
    <w:rPr>
      <w:vertAlign w:val="superscript"/>
    </w:rPr>
  </w:style>
  <w:style w:type="paragraph" w:styleId="BalloonText">
    <w:name w:val="Balloon Text"/>
    <w:basedOn w:val="Normal"/>
    <w:link w:val="BalloonTextChar"/>
    <w:uiPriority w:val="99"/>
    <w:semiHidden/>
    <w:unhideWhenUsed/>
    <w:rsid w:val="001156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563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23BA8"/>
    <w:rPr>
      <w:sz w:val="16"/>
      <w:szCs w:val="16"/>
    </w:rPr>
  </w:style>
  <w:style w:type="paragraph" w:styleId="CommentText">
    <w:name w:val="annotation text"/>
    <w:basedOn w:val="Normal"/>
    <w:link w:val="CommentTextChar"/>
    <w:uiPriority w:val="99"/>
    <w:semiHidden/>
    <w:unhideWhenUsed/>
    <w:rsid w:val="00A23BA8"/>
    <w:rPr>
      <w:sz w:val="20"/>
      <w:szCs w:val="20"/>
    </w:rPr>
  </w:style>
  <w:style w:type="character" w:customStyle="1" w:styleId="CommentTextChar">
    <w:name w:val="Comment Text Char"/>
    <w:basedOn w:val="DefaultParagraphFont"/>
    <w:link w:val="CommentText"/>
    <w:uiPriority w:val="99"/>
    <w:semiHidden/>
    <w:rsid w:val="00A23BA8"/>
    <w:rPr>
      <w:sz w:val="20"/>
      <w:szCs w:val="20"/>
    </w:rPr>
  </w:style>
  <w:style w:type="paragraph" w:styleId="CommentSubject">
    <w:name w:val="annotation subject"/>
    <w:basedOn w:val="CommentText"/>
    <w:next w:val="CommentText"/>
    <w:link w:val="CommentSubjectChar"/>
    <w:uiPriority w:val="99"/>
    <w:semiHidden/>
    <w:unhideWhenUsed/>
    <w:rsid w:val="00A23BA8"/>
    <w:rPr>
      <w:b/>
      <w:bCs/>
    </w:rPr>
  </w:style>
  <w:style w:type="character" w:customStyle="1" w:styleId="CommentSubjectChar">
    <w:name w:val="Comment Subject Char"/>
    <w:basedOn w:val="CommentTextChar"/>
    <w:link w:val="CommentSubject"/>
    <w:uiPriority w:val="99"/>
    <w:semiHidden/>
    <w:rsid w:val="00A23BA8"/>
    <w:rPr>
      <w:b/>
      <w:bCs/>
      <w:sz w:val="20"/>
      <w:szCs w:val="20"/>
    </w:rPr>
  </w:style>
  <w:style w:type="paragraph" w:styleId="Revision">
    <w:name w:val="Revision"/>
    <w:hidden/>
    <w:uiPriority w:val="99"/>
    <w:semiHidden/>
    <w:rsid w:val="0067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275">
      <w:bodyDiv w:val="1"/>
      <w:marLeft w:val="0"/>
      <w:marRight w:val="0"/>
      <w:marTop w:val="0"/>
      <w:marBottom w:val="0"/>
      <w:divBdr>
        <w:top w:val="none" w:sz="0" w:space="0" w:color="auto"/>
        <w:left w:val="none" w:sz="0" w:space="0" w:color="auto"/>
        <w:bottom w:val="none" w:sz="0" w:space="0" w:color="auto"/>
        <w:right w:val="none" w:sz="0" w:space="0" w:color="auto"/>
      </w:divBdr>
      <w:divsChild>
        <w:div w:id="1712074709">
          <w:marLeft w:val="547"/>
          <w:marRight w:val="0"/>
          <w:marTop w:val="130"/>
          <w:marBottom w:val="0"/>
          <w:divBdr>
            <w:top w:val="none" w:sz="0" w:space="0" w:color="auto"/>
            <w:left w:val="none" w:sz="0" w:space="0" w:color="auto"/>
            <w:bottom w:val="none" w:sz="0" w:space="0" w:color="auto"/>
            <w:right w:val="none" w:sz="0" w:space="0" w:color="auto"/>
          </w:divBdr>
        </w:div>
      </w:divsChild>
    </w:div>
    <w:div w:id="546112119">
      <w:bodyDiv w:val="1"/>
      <w:marLeft w:val="0"/>
      <w:marRight w:val="0"/>
      <w:marTop w:val="0"/>
      <w:marBottom w:val="0"/>
      <w:divBdr>
        <w:top w:val="none" w:sz="0" w:space="0" w:color="auto"/>
        <w:left w:val="none" w:sz="0" w:space="0" w:color="auto"/>
        <w:bottom w:val="none" w:sz="0" w:space="0" w:color="auto"/>
        <w:right w:val="none" w:sz="0" w:space="0" w:color="auto"/>
      </w:divBdr>
      <w:divsChild>
        <w:div w:id="886911958">
          <w:marLeft w:val="0"/>
          <w:marRight w:val="0"/>
          <w:marTop w:val="0"/>
          <w:marBottom w:val="0"/>
          <w:divBdr>
            <w:top w:val="none" w:sz="0" w:space="0" w:color="auto"/>
            <w:left w:val="none" w:sz="0" w:space="0" w:color="auto"/>
            <w:bottom w:val="none" w:sz="0" w:space="0" w:color="auto"/>
            <w:right w:val="none" w:sz="0" w:space="0" w:color="auto"/>
          </w:divBdr>
          <w:divsChild>
            <w:div w:id="1659075287">
              <w:marLeft w:val="0"/>
              <w:marRight w:val="0"/>
              <w:marTop w:val="0"/>
              <w:marBottom w:val="0"/>
              <w:divBdr>
                <w:top w:val="none" w:sz="0" w:space="0" w:color="auto"/>
                <w:left w:val="none" w:sz="0" w:space="0" w:color="auto"/>
                <w:bottom w:val="none" w:sz="0" w:space="0" w:color="auto"/>
                <w:right w:val="none" w:sz="0" w:space="0" w:color="auto"/>
              </w:divBdr>
              <w:divsChild>
                <w:div w:id="15342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6843">
      <w:bodyDiv w:val="1"/>
      <w:marLeft w:val="0"/>
      <w:marRight w:val="0"/>
      <w:marTop w:val="0"/>
      <w:marBottom w:val="0"/>
      <w:divBdr>
        <w:top w:val="none" w:sz="0" w:space="0" w:color="auto"/>
        <w:left w:val="none" w:sz="0" w:space="0" w:color="auto"/>
        <w:bottom w:val="none" w:sz="0" w:space="0" w:color="auto"/>
        <w:right w:val="none" w:sz="0" w:space="0" w:color="auto"/>
      </w:divBdr>
      <w:divsChild>
        <w:div w:id="1506164605">
          <w:marLeft w:val="0"/>
          <w:marRight w:val="0"/>
          <w:marTop w:val="0"/>
          <w:marBottom w:val="0"/>
          <w:divBdr>
            <w:top w:val="none" w:sz="0" w:space="0" w:color="auto"/>
            <w:left w:val="none" w:sz="0" w:space="0" w:color="auto"/>
            <w:bottom w:val="none" w:sz="0" w:space="0" w:color="auto"/>
            <w:right w:val="none" w:sz="0" w:space="0" w:color="auto"/>
          </w:divBdr>
          <w:divsChild>
            <w:div w:id="2097434018">
              <w:marLeft w:val="0"/>
              <w:marRight w:val="0"/>
              <w:marTop w:val="0"/>
              <w:marBottom w:val="0"/>
              <w:divBdr>
                <w:top w:val="none" w:sz="0" w:space="0" w:color="auto"/>
                <w:left w:val="none" w:sz="0" w:space="0" w:color="auto"/>
                <w:bottom w:val="none" w:sz="0" w:space="0" w:color="auto"/>
                <w:right w:val="none" w:sz="0" w:space="0" w:color="auto"/>
              </w:divBdr>
              <w:divsChild>
                <w:div w:id="8109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0409">
      <w:bodyDiv w:val="1"/>
      <w:marLeft w:val="0"/>
      <w:marRight w:val="0"/>
      <w:marTop w:val="0"/>
      <w:marBottom w:val="0"/>
      <w:divBdr>
        <w:top w:val="none" w:sz="0" w:space="0" w:color="auto"/>
        <w:left w:val="none" w:sz="0" w:space="0" w:color="auto"/>
        <w:bottom w:val="none" w:sz="0" w:space="0" w:color="auto"/>
        <w:right w:val="none" w:sz="0" w:space="0" w:color="auto"/>
      </w:divBdr>
      <w:divsChild>
        <w:div w:id="2092264720">
          <w:marLeft w:val="0"/>
          <w:marRight w:val="0"/>
          <w:marTop w:val="0"/>
          <w:marBottom w:val="0"/>
          <w:divBdr>
            <w:top w:val="none" w:sz="0" w:space="0" w:color="auto"/>
            <w:left w:val="none" w:sz="0" w:space="0" w:color="auto"/>
            <w:bottom w:val="none" w:sz="0" w:space="0" w:color="auto"/>
            <w:right w:val="none" w:sz="0" w:space="0" w:color="auto"/>
          </w:divBdr>
          <w:divsChild>
            <w:div w:id="1893690275">
              <w:marLeft w:val="0"/>
              <w:marRight w:val="0"/>
              <w:marTop w:val="0"/>
              <w:marBottom w:val="0"/>
              <w:divBdr>
                <w:top w:val="none" w:sz="0" w:space="0" w:color="auto"/>
                <w:left w:val="none" w:sz="0" w:space="0" w:color="auto"/>
                <w:bottom w:val="none" w:sz="0" w:space="0" w:color="auto"/>
                <w:right w:val="none" w:sz="0" w:space="0" w:color="auto"/>
              </w:divBdr>
              <w:divsChild>
                <w:div w:id="2063476948">
                  <w:marLeft w:val="0"/>
                  <w:marRight w:val="0"/>
                  <w:marTop w:val="0"/>
                  <w:marBottom w:val="0"/>
                  <w:divBdr>
                    <w:top w:val="none" w:sz="0" w:space="0" w:color="auto"/>
                    <w:left w:val="none" w:sz="0" w:space="0" w:color="auto"/>
                    <w:bottom w:val="none" w:sz="0" w:space="0" w:color="auto"/>
                    <w:right w:val="none" w:sz="0" w:space="0" w:color="auto"/>
                  </w:divBdr>
                  <w:divsChild>
                    <w:div w:id="1742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57808">
      <w:bodyDiv w:val="1"/>
      <w:marLeft w:val="0"/>
      <w:marRight w:val="0"/>
      <w:marTop w:val="0"/>
      <w:marBottom w:val="0"/>
      <w:divBdr>
        <w:top w:val="none" w:sz="0" w:space="0" w:color="auto"/>
        <w:left w:val="none" w:sz="0" w:space="0" w:color="auto"/>
        <w:bottom w:val="none" w:sz="0" w:space="0" w:color="auto"/>
        <w:right w:val="none" w:sz="0" w:space="0" w:color="auto"/>
      </w:divBdr>
      <w:divsChild>
        <w:div w:id="2012247630">
          <w:marLeft w:val="0"/>
          <w:marRight w:val="0"/>
          <w:marTop w:val="0"/>
          <w:marBottom w:val="0"/>
          <w:divBdr>
            <w:top w:val="none" w:sz="0" w:space="0" w:color="auto"/>
            <w:left w:val="none" w:sz="0" w:space="0" w:color="auto"/>
            <w:bottom w:val="none" w:sz="0" w:space="0" w:color="auto"/>
            <w:right w:val="none" w:sz="0" w:space="0" w:color="auto"/>
          </w:divBdr>
          <w:divsChild>
            <w:div w:id="1047027491">
              <w:marLeft w:val="0"/>
              <w:marRight w:val="0"/>
              <w:marTop w:val="0"/>
              <w:marBottom w:val="0"/>
              <w:divBdr>
                <w:top w:val="none" w:sz="0" w:space="0" w:color="auto"/>
                <w:left w:val="none" w:sz="0" w:space="0" w:color="auto"/>
                <w:bottom w:val="none" w:sz="0" w:space="0" w:color="auto"/>
                <w:right w:val="none" w:sz="0" w:space="0" w:color="auto"/>
              </w:divBdr>
              <w:divsChild>
                <w:div w:id="1582178818">
                  <w:marLeft w:val="0"/>
                  <w:marRight w:val="0"/>
                  <w:marTop w:val="0"/>
                  <w:marBottom w:val="0"/>
                  <w:divBdr>
                    <w:top w:val="none" w:sz="0" w:space="0" w:color="auto"/>
                    <w:left w:val="none" w:sz="0" w:space="0" w:color="auto"/>
                    <w:bottom w:val="none" w:sz="0" w:space="0" w:color="auto"/>
                    <w:right w:val="none" w:sz="0" w:space="0" w:color="auto"/>
                  </w:divBdr>
                  <w:divsChild>
                    <w:div w:id="17297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88973">
      <w:bodyDiv w:val="1"/>
      <w:marLeft w:val="0"/>
      <w:marRight w:val="0"/>
      <w:marTop w:val="0"/>
      <w:marBottom w:val="0"/>
      <w:divBdr>
        <w:top w:val="none" w:sz="0" w:space="0" w:color="auto"/>
        <w:left w:val="none" w:sz="0" w:space="0" w:color="auto"/>
        <w:bottom w:val="none" w:sz="0" w:space="0" w:color="auto"/>
        <w:right w:val="none" w:sz="0" w:space="0" w:color="auto"/>
      </w:divBdr>
      <w:divsChild>
        <w:div w:id="660503459">
          <w:marLeft w:val="0"/>
          <w:marRight w:val="0"/>
          <w:marTop w:val="0"/>
          <w:marBottom w:val="0"/>
          <w:divBdr>
            <w:top w:val="none" w:sz="0" w:space="0" w:color="auto"/>
            <w:left w:val="none" w:sz="0" w:space="0" w:color="auto"/>
            <w:bottom w:val="none" w:sz="0" w:space="0" w:color="auto"/>
            <w:right w:val="none" w:sz="0" w:space="0" w:color="auto"/>
          </w:divBdr>
          <w:divsChild>
            <w:div w:id="742029895">
              <w:marLeft w:val="0"/>
              <w:marRight w:val="0"/>
              <w:marTop w:val="0"/>
              <w:marBottom w:val="0"/>
              <w:divBdr>
                <w:top w:val="none" w:sz="0" w:space="0" w:color="auto"/>
                <w:left w:val="none" w:sz="0" w:space="0" w:color="auto"/>
                <w:bottom w:val="none" w:sz="0" w:space="0" w:color="auto"/>
                <w:right w:val="none" w:sz="0" w:space="0" w:color="auto"/>
              </w:divBdr>
              <w:divsChild>
                <w:div w:id="1219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8975">
      <w:bodyDiv w:val="1"/>
      <w:marLeft w:val="0"/>
      <w:marRight w:val="0"/>
      <w:marTop w:val="0"/>
      <w:marBottom w:val="0"/>
      <w:divBdr>
        <w:top w:val="none" w:sz="0" w:space="0" w:color="auto"/>
        <w:left w:val="none" w:sz="0" w:space="0" w:color="auto"/>
        <w:bottom w:val="none" w:sz="0" w:space="0" w:color="auto"/>
        <w:right w:val="none" w:sz="0" w:space="0" w:color="auto"/>
      </w:divBdr>
      <w:divsChild>
        <w:div w:id="418186193">
          <w:marLeft w:val="0"/>
          <w:marRight w:val="0"/>
          <w:marTop w:val="0"/>
          <w:marBottom w:val="0"/>
          <w:divBdr>
            <w:top w:val="none" w:sz="0" w:space="0" w:color="auto"/>
            <w:left w:val="none" w:sz="0" w:space="0" w:color="auto"/>
            <w:bottom w:val="none" w:sz="0" w:space="0" w:color="auto"/>
            <w:right w:val="none" w:sz="0" w:space="0" w:color="auto"/>
          </w:divBdr>
          <w:divsChild>
            <w:div w:id="1199591363">
              <w:marLeft w:val="0"/>
              <w:marRight w:val="0"/>
              <w:marTop w:val="0"/>
              <w:marBottom w:val="0"/>
              <w:divBdr>
                <w:top w:val="none" w:sz="0" w:space="0" w:color="auto"/>
                <w:left w:val="none" w:sz="0" w:space="0" w:color="auto"/>
                <w:bottom w:val="none" w:sz="0" w:space="0" w:color="auto"/>
                <w:right w:val="none" w:sz="0" w:space="0" w:color="auto"/>
              </w:divBdr>
              <w:divsChild>
                <w:div w:id="106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dx.doi.org/10.4135/978144627305013509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oir.org/reports/ethic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srn.com/abstract=4922427"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s://2021.ref.ac.uk/media/1228/open_access_summary__v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4409</Words>
  <Characters>24956</Characters>
  <Application>Microsoft Office Word</Application>
  <DocSecurity>0</DocSecurity>
  <Lines>402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reilly</dc:creator>
  <cp:keywords/>
  <dc:description/>
  <cp:lastModifiedBy>paul reilly</cp:lastModifiedBy>
  <cp:revision>2</cp:revision>
  <dcterms:created xsi:type="dcterms:W3CDTF">2025-02-16T12:30:00Z</dcterms:created>
  <dcterms:modified xsi:type="dcterms:W3CDTF">2025-02-16T12:30:00Z</dcterms:modified>
</cp:coreProperties>
</file>