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1CA9D" w14:textId="59A9EDB2" w:rsidR="006A48DC" w:rsidRPr="006A48DC" w:rsidRDefault="006A48DC" w:rsidP="006A48DC">
      <w:pPr>
        <w:spacing w:line="276" w:lineRule="auto"/>
        <w:jc w:val="center"/>
        <w:rPr>
          <w:rFonts w:cstheme="minorHAnsi"/>
          <w:color w:val="000000" w:themeColor="text1"/>
          <w:shd w:val="clear" w:color="auto" w:fill="FFFFFF"/>
        </w:rPr>
      </w:pPr>
      <w:r w:rsidRPr="006A48DC">
        <w:rPr>
          <w:rFonts w:cstheme="minorHAnsi"/>
          <w:color w:val="000000" w:themeColor="text1"/>
          <w:shd w:val="clear" w:color="auto" w:fill="FFFFFF"/>
        </w:rPr>
        <w:t xml:space="preserve">Application for a paper presentation at the </w:t>
      </w:r>
      <w:r w:rsidRPr="006A48DC">
        <w:t>Interdisciplinary Workshop</w:t>
      </w:r>
      <w:r w:rsidRPr="006A48DC">
        <w:rPr>
          <w:rFonts w:cstheme="minorHAnsi"/>
          <w:color w:val="000000" w:themeColor="text1"/>
          <w:shd w:val="clear" w:color="auto" w:fill="FFFFFF"/>
        </w:rPr>
        <w:t xml:space="preserve"> </w:t>
      </w:r>
      <w:r w:rsidRPr="006A48DC">
        <w:rPr>
          <w:rFonts w:cstheme="minorHAnsi"/>
          <w:color w:val="000000" w:themeColor="text1"/>
          <w:shd w:val="clear" w:color="auto" w:fill="FFFFFF"/>
        </w:rPr>
        <w:t>on</w:t>
      </w:r>
    </w:p>
    <w:p w14:paraId="7B835647" w14:textId="65118739" w:rsidR="006A48DC" w:rsidRPr="006A48DC" w:rsidRDefault="006A48DC" w:rsidP="006A48DC">
      <w:pPr>
        <w:spacing w:line="276" w:lineRule="auto"/>
        <w:jc w:val="center"/>
        <w:rPr>
          <w:rFonts w:cstheme="minorHAnsi"/>
          <w:color w:val="000000" w:themeColor="text1"/>
          <w:shd w:val="clear" w:color="auto" w:fill="FFFFFF"/>
        </w:rPr>
      </w:pPr>
      <w:r w:rsidRPr="006A48DC">
        <w:rPr>
          <w:i/>
          <w:iCs/>
        </w:rPr>
        <w:t>Media and Conflict Memory</w:t>
      </w:r>
      <w:r w:rsidRPr="006A48DC">
        <w:rPr>
          <w:rFonts w:cstheme="minorHAnsi"/>
          <w:color w:val="000000" w:themeColor="text1"/>
          <w:shd w:val="clear" w:color="auto" w:fill="FFFFFF"/>
        </w:rPr>
        <w:t>, 22-23 November 2023</w:t>
      </w:r>
      <w:r w:rsidRPr="006A48DC">
        <w:rPr>
          <w:rFonts w:cstheme="minorHAnsi"/>
          <w:color w:val="000000" w:themeColor="text1"/>
          <w:shd w:val="clear" w:color="auto" w:fill="FFFFFF"/>
        </w:rPr>
        <w:t xml:space="preserve"> </w:t>
      </w:r>
      <w:r w:rsidRPr="006A48DC">
        <w:rPr>
          <w:rFonts w:cstheme="minorHAnsi"/>
          <w:color w:val="000000" w:themeColor="text1"/>
          <w:shd w:val="clear" w:color="auto" w:fill="FFFFFF"/>
        </w:rPr>
        <w:t xml:space="preserve">at the </w:t>
      </w:r>
      <w:r w:rsidRPr="006A48DC">
        <w:t>University of Glasgow</w:t>
      </w:r>
      <w:r w:rsidRPr="006A48DC">
        <w:rPr>
          <w:rFonts w:cstheme="minorHAnsi"/>
          <w:color w:val="000000" w:themeColor="text1"/>
          <w:shd w:val="clear" w:color="auto" w:fill="FFFFFF"/>
        </w:rPr>
        <w:t>.</w:t>
      </w:r>
    </w:p>
    <w:p w14:paraId="77058EA1" w14:textId="3AE197A5" w:rsidR="00840EF4" w:rsidRPr="006A48DC" w:rsidRDefault="00840EF4" w:rsidP="00976901">
      <w:pPr>
        <w:spacing w:after="0" w:line="240" w:lineRule="auto"/>
        <w:rPr>
          <w:rFonts w:ascii="Calibri" w:hAnsi="Calibri" w:cs="Calibri"/>
          <w:b/>
          <w:bCs/>
          <w:color w:val="000000" w:themeColor="text1"/>
        </w:rPr>
      </w:pPr>
      <w:r w:rsidRPr="006A48DC">
        <w:rPr>
          <w:rFonts w:ascii="Calibri" w:hAnsi="Calibri" w:cs="Calibri"/>
          <w:b/>
          <w:bCs/>
          <w:color w:val="000000" w:themeColor="text1"/>
        </w:rPr>
        <w:t xml:space="preserve">The memory of enforced </w:t>
      </w:r>
      <w:r w:rsidR="00976901" w:rsidRPr="006A48DC">
        <w:rPr>
          <w:rStyle w:val="Emphasis"/>
          <w:rFonts w:ascii="Calibri" w:hAnsi="Calibri" w:cs="Calibri"/>
          <w:b/>
          <w:bCs/>
          <w:i w:val="0"/>
          <w:iCs w:val="0"/>
          <w:color w:val="000000" w:themeColor="text1"/>
        </w:rPr>
        <w:t>disappearance</w:t>
      </w:r>
      <w:r w:rsidR="00976901" w:rsidRPr="006A48DC">
        <w:rPr>
          <w:rStyle w:val="Emphasis"/>
          <w:rFonts w:ascii="Calibri" w:hAnsi="Calibri" w:cs="Calibri"/>
          <w:b/>
          <w:bCs/>
          <w:i w:val="0"/>
          <w:iCs w:val="0"/>
          <w:color w:val="000000" w:themeColor="text1"/>
        </w:rPr>
        <w:t>s</w:t>
      </w:r>
      <w:r w:rsidRPr="006A48DC">
        <w:rPr>
          <w:rFonts w:ascii="Calibri" w:hAnsi="Calibri" w:cs="Calibri"/>
          <w:b/>
          <w:bCs/>
          <w:color w:val="000000" w:themeColor="text1"/>
        </w:rPr>
        <w:t xml:space="preserve"> - exploring journalist’s agency in peace processes</w:t>
      </w:r>
    </w:p>
    <w:p w14:paraId="4A08AF43" w14:textId="77777777" w:rsidR="006A48DC" w:rsidRPr="006A48DC" w:rsidRDefault="006A48DC" w:rsidP="00976901">
      <w:pPr>
        <w:spacing w:after="0" w:line="240" w:lineRule="auto"/>
        <w:jc w:val="both"/>
        <w:rPr>
          <w:rFonts w:ascii="Calibri" w:hAnsi="Calibri" w:cs="Calibri"/>
          <w:color w:val="000000" w:themeColor="text1"/>
        </w:rPr>
      </w:pPr>
    </w:p>
    <w:p w14:paraId="228ED76D" w14:textId="77777777" w:rsidR="006A48DC" w:rsidRPr="006A48DC" w:rsidRDefault="006A48DC" w:rsidP="006A48DC">
      <w:pPr>
        <w:spacing w:line="276" w:lineRule="auto"/>
        <w:jc w:val="center"/>
        <w:rPr>
          <w:rFonts w:cstheme="minorHAnsi"/>
          <w:color w:val="000000" w:themeColor="text1"/>
          <w:shd w:val="clear" w:color="auto" w:fill="FFFFFF"/>
        </w:rPr>
      </w:pPr>
      <w:r w:rsidRPr="006A48DC">
        <w:rPr>
          <w:rFonts w:cstheme="minorHAnsi"/>
          <w:color w:val="000000" w:themeColor="text1"/>
          <w:shd w:val="clear" w:color="auto" w:fill="FFFFFF"/>
        </w:rPr>
        <w:t xml:space="preserve">Paper by </w:t>
      </w:r>
      <w:proofErr w:type="spellStart"/>
      <w:r w:rsidRPr="006A48DC">
        <w:rPr>
          <w:rFonts w:cstheme="minorHAnsi"/>
          <w:color w:val="000000" w:themeColor="text1"/>
          <w:shd w:val="clear" w:color="auto" w:fill="FFFFFF"/>
        </w:rPr>
        <w:t>Rousbeh</w:t>
      </w:r>
      <w:proofErr w:type="spellEnd"/>
      <w:r w:rsidRPr="006A48DC">
        <w:rPr>
          <w:rFonts w:cstheme="minorHAnsi"/>
          <w:color w:val="000000" w:themeColor="text1"/>
          <w:shd w:val="clear" w:color="auto" w:fill="FFFFFF"/>
        </w:rPr>
        <w:t xml:space="preserve"> </w:t>
      </w:r>
      <w:proofErr w:type="spellStart"/>
      <w:r w:rsidRPr="006A48DC">
        <w:rPr>
          <w:rFonts w:cstheme="minorHAnsi"/>
          <w:color w:val="000000" w:themeColor="text1"/>
          <w:shd w:val="clear" w:color="auto" w:fill="FFFFFF"/>
        </w:rPr>
        <w:t>Legatis</w:t>
      </w:r>
      <w:proofErr w:type="spellEnd"/>
      <w:r w:rsidRPr="006A48DC">
        <w:rPr>
          <w:rFonts w:cstheme="minorHAnsi"/>
          <w:color w:val="000000" w:themeColor="text1"/>
          <w:shd w:val="clear" w:color="auto" w:fill="FFFFFF"/>
        </w:rPr>
        <w:t>, School of Oriental and African Studies (SOAS), University of London.</w:t>
      </w:r>
    </w:p>
    <w:p w14:paraId="2546A759" w14:textId="77777777" w:rsidR="006A48DC" w:rsidRPr="006A48DC" w:rsidRDefault="006A48DC" w:rsidP="00976901">
      <w:pPr>
        <w:spacing w:after="0" w:line="240" w:lineRule="auto"/>
        <w:jc w:val="both"/>
        <w:rPr>
          <w:rFonts w:ascii="Calibri" w:hAnsi="Calibri" w:cs="Calibri"/>
          <w:color w:val="000000" w:themeColor="text1"/>
        </w:rPr>
      </w:pPr>
    </w:p>
    <w:p w14:paraId="722A1DED" w14:textId="76F794DA" w:rsidR="006A48DC" w:rsidRPr="006A48DC" w:rsidRDefault="00446BCB" w:rsidP="00976901">
      <w:pPr>
        <w:spacing w:after="0" w:line="240" w:lineRule="auto"/>
        <w:jc w:val="both"/>
        <w:rPr>
          <w:rFonts w:ascii="Calibri" w:hAnsi="Calibri" w:cs="Calibri"/>
          <w:b/>
          <w:bCs/>
          <w:color w:val="000000" w:themeColor="text1"/>
        </w:rPr>
      </w:pPr>
      <w:r w:rsidRPr="006A48DC">
        <w:rPr>
          <w:rFonts w:ascii="Calibri" w:hAnsi="Calibri" w:cs="Calibri"/>
          <w:b/>
          <w:bCs/>
          <w:color w:val="000000" w:themeColor="text1"/>
        </w:rPr>
        <w:t>Abstract</w:t>
      </w:r>
    </w:p>
    <w:p w14:paraId="05B1E8DF" w14:textId="4A386FE9" w:rsidR="0075534F" w:rsidRPr="006A48DC" w:rsidRDefault="0075534F" w:rsidP="00976901">
      <w:pPr>
        <w:spacing w:after="0" w:line="240" w:lineRule="auto"/>
        <w:jc w:val="both"/>
        <w:rPr>
          <w:rFonts w:ascii="Calibri" w:hAnsi="Calibri" w:cs="Calibri"/>
          <w:color w:val="000000" w:themeColor="text1"/>
        </w:rPr>
      </w:pPr>
      <w:r w:rsidRPr="006A48DC">
        <w:rPr>
          <w:rFonts w:ascii="Calibri" w:hAnsi="Calibri" w:cs="Calibri"/>
          <w:color w:val="000000" w:themeColor="text1"/>
          <w:shd w:val="clear" w:color="auto" w:fill="FFFFFF"/>
        </w:rPr>
        <w:t>I</w:t>
      </w:r>
      <w:r w:rsidRPr="006A48DC">
        <w:rPr>
          <w:rFonts w:ascii="Calibri" w:hAnsi="Calibri" w:cs="Calibri"/>
          <w:color w:val="000000" w:themeColor="text1"/>
        </w:rPr>
        <w:t xml:space="preserve">n the rebuilding of states and communities after violence and mass crimes, </w:t>
      </w:r>
      <w:r w:rsidRPr="006A48DC">
        <w:rPr>
          <w:rFonts w:ascii="Calibri" w:hAnsi="Calibri" w:cs="Calibri"/>
          <w:color w:val="000000" w:themeColor="text1"/>
          <w:shd w:val="clear" w:color="auto" w:fill="FFFFFF"/>
        </w:rPr>
        <w:t xml:space="preserve">the imperative of dealing with the past (DwP) has become well established worldwide as part of efforts to transform armed conflicts constructively. When examining the interrelation between peacebuilding and memories in their collective form, a common denominator can be identified. The two concepts – peace and memory – are not conditions that are found a priori in human relations; rather, they are social constructs (Schmidt 2010, Breen Smyth 2007). They are developed and determined in processes that involve divergent power constellations and (political) interests as much as subjectivity, ideology, dominance and marginalisation. Both concepts need a maximum level of inclusion, active participation and communication with and between all social groups in order to strengthen local voices and agencies </w:t>
      </w:r>
      <w:r w:rsidRPr="006A48DC">
        <w:rPr>
          <w:rFonts w:ascii="Calibri" w:hAnsi="Calibri" w:cs="Calibri"/>
          <w:color w:val="000000" w:themeColor="text1"/>
        </w:rPr>
        <w:t>throughout all levels and in all corners of society</w:t>
      </w:r>
      <w:r w:rsidRPr="006A48DC">
        <w:rPr>
          <w:rFonts w:ascii="Calibri" w:hAnsi="Calibri" w:cs="Calibri"/>
          <w:color w:val="000000" w:themeColor="text1"/>
          <w:shd w:val="clear" w:color="auto" w:fill="FFFFFF"/>
        </w:rPr>
        <w:t>.</w:t>
      </w:r>
      <w:r w:rsidRPr="006A48DC">
        <w:rPr>
          <w:rFonts w:ascii="Calibri" w:hAnsi="Calibri" w:cs="Calibri"/>
          <w:color w:val="000000" w:themeColor="text1"/>
          <w:shd w:val="clear" w:color="auto" w:fill="FFFFFF"/>
          <w:lang w:val="en-US"/>
        </w:rPr>
        <w:t xml:space="preserve"> </w:t>
      </w:r>
    </w:p>
    <w:p w14:paraId="77DAF491" w14:textId="1F4086DE" w:rsidR="0075534F" w:rsidRPr="006A48DC" w:rsidRDefault="0075534F" w:rsidP="00976901">
      <w:pPr>
        <w:spacing w:after="0" w:line="240" w:lineRule="auto"/>
        <w:jc w:val="both"/>
        <w:rPr>
          <w:rFonts w:ascii="Calibri" w:hAnsi="Calibri" w:cs="Calibri"/>
          <w:color w:val="000000" w:themeColor="text1"/>
        </w:rPr>
      </w:pPr>
      <w:r w:rsidRPr="006A48DC">
        <w:rPr>
          <w:rFonts w:ascii="Calibri" w:hAnsi="Calibri" w:cs="Calibri"/>
          <w:color w:val="000000" w:themeColor="text1"/>
        </w:rPr>
        <w:t xml:space="preserve">Against this background, </w:t>
      </w:r>
      <w:r w:rsidRPr="006A48DC">
        <w:rPr>
          <w:rFonts w:ascii="Calibri" w:hAnsi="Calibri" w:cs="Calibri"/>
          <w:color w:val="000000" w:themeColor="text1"/>
          <w:shd w:val="clear" w:color="auto" w:fill="FFFFFF"/>
        </w:rPr>
        <w:t>not only do members of mnemonic communities, and the society as a whole, often first take notice of collective memory events through journalistic reporting (</w:t>
      </w:r>
      <w:proofErr w:type="spellStart"/>
      <w:r w:rsidRPr="006A48DC">
        <w:rPr>
          <w:rFonts w:ascii="Calibri" w:hAnsi="Calibri" w:cs="Calibri"/>
          <w:color w:val="000000" w:themeColor="text1"/>
          <w:shd w:val="clear" w:color="auto" w:fill="FFFFFF"/>
        </w:rPr>
        <w:t>Paez</w:t>
      </w:r>
      <w:proofErr w:type="spellEnd"/>
      <w:r w:rsidRPr="006A48DC">
        <w:rPr>
          <w:rFonts w:ascii="Calibri" w:hAnsi="Calibri" w:cs="Calibri"/>
          <w:color w:val="000000" w:themeColor="text1"/>
          <w:shd w:val="clear" w:color="auto" w:fill="FFFFFF"/>
        </w:rPr>
        <w:t xml:space="preserve"> and Liu 2015, 198), but media, and the journalists who work in the media, also play an important role as “memory agents” (</w:t>
      </w:r>
      <w:proofErr w:type="spellStart"/>
      <w:r w:rsidRPr="006A48DC">
        <w:rPr>
          <w:rFonts w:ascii="Calibri" w:hAnsi="Calibri" w:cs="Calibri"/>
          <w:color w:val="000000" w:themeColor="text1"/>
          <w:shd w:val="clear" w:color="auto" w:fill="FFFFFF"/>
        </w:rPr>
        <w:t>Neiger</w:t>
      </w:r>
      <w:proofErr w:type="spellEnd"/>
      <w:r w:rsidRPr="006A48DC">
        <w:rPr>
          <w:rFonts w:ascii="Calibri" w:hAnsi="Calibri" w:cs="Calibri"/>
          <w:color w:val="000000" w:themeColor="text1"/>
          <w:shd w:val="clear" w:color="auto" w:fill="FFFFFF"/>
        </w:rPr>
        <w:t xml:space="preserve">, Meyers and </w:t>
      </w:r>
      <w:proofErr w:type="spellStart"/>
      <w:r w:rsidRPr="006A48DC">
        <w:rPr>
          <w:rFonts w:ascii="Calibri" w:hAnsi="Calibri" w:cs="Calibri"/>
          <w:color w:val="000000" w:themeColor="text1"/>
          <w:shd w:val="clear" w:color="auto" w:fill="FFFFFF"/>
        </w:rPr>
        <w:t>Zandberg</w:t>
      </w:r>
      <w:proofErr w:type="spellEnd"/>
      <w:r w:rsidRPr="006A48DC">
        <w:rPr>
          <w:rFonts w:ascii="Calibri" w:hAnsi="Calibri" w:cs="Calibri"/>
          <w:color w:val="000000" w:themeColor="text1"/>
          <w:shd w:val="clear" w:color="auto" w:fill="FFFFFF"/>
        </w:rPr>
        <w:t xml:space="preserve"> 2011). It is when there is a “contest for authority to narrate the past and infuse it with meaning” that media and journalists bring together two key characteristics of collective processes of memory, as Meyers (2016, 5) observes: providing “</w:t>
      </w:r>
      <w:r w:rsidRPr="006A48DC">
        <w:rPr>
          <w:rFonts w:ascii="Calibri" w:hAnsi="Calibri" w:cs="Calibri"/>
          <w:color w:val="000000" w:themeColor="text1"/>
        </w:rPr>
        <w:t>a public arena for various agents” and as “salient memory agents”</w:t>
      </w:r>
      <w:r w:rsidR="00840EF4" w:rsidRPr="006A48DC">
        <w:rPr>
          <w:rFonts w:ascii="Calibri" w:hAnsi="Calibri" w:cs="Calibri"/>
          <w:color w:val="000000" w:themeColor="text1"/>
        </w:rPr>
        <w:t xml:space="preserve"> (ibid.)</w:t>
      </w:r>
      <w:r w:rsidRPr="006A48DC">
        <w:rPr>
          <w:rFonts w:ascii="Calibri" w:hAnsi="Calibri" w:cs="Calibri"/>
          <w:color w:val="000000" w:themeColor="text1"/>
        </w:rPr>
        <w:t>.</w:t>
      </w:r>
    </w:p>
    <w:p w14:paraId="6D4F9C3F" w14:textId="7B818F45" w:rsidR="0075534F" w:rsidRPr="006A48DC" w:rsidRDefault="0075534F" w:rsidP="00976901">
      <w:pPr>
        <w:pStyle w:val="NormalWeb"/>
        <w:spacing w:before="0" w:beforeAutospacing="0" w:after="0" w:afterAutospacing="0"/>
        <w:jc w:val="both"/>
        <w:rPr>
          <w:rFonts w:ascii="Calibri" w:hAnsi="Calibri" w:cs="Calibri"/>
          <w:color w:val="000000" w:themeColor="text1"/>
          <w:sz w:val="22"/>
          <w:szCs w:val="22"/>
          <w:lang w:val="en-AU"/>
        </w:rPr>
      </w:pPr>
      <w:r w:rsidRPr="006A48DC">
        <w:rPr>
          <w:rFonts w:ascii="Calibri" w:hAnsi="Calibri" w:cs="Calibri"/>
          <w:color w:val="000000" w:themeColor="text1"/>
          <w:sz w:val="22"/>
          <w:szCs w:val="22"/>
          <w:lang w:val="en-AU"/>
        </w:rPr>
        <w:t xml:space="preserve">These characteristics intertwine with other features of media and journalists in their function as intermediaries at the junction of collective co-existence in deeply divided societies, which make them – in addition to their role in collective memory processes, explored </w:t>
      </w:r>
      <w:proofErr w:type="gramStart"/>
      <w:r w:rsidRPr="006A48DC">
        <w:rPr>
          <w:rFonts w:ascii="Calibri" w:hAnsi="Calibri" w:cs="Calibri"/>
          <w:color w:val="000000" w:themeColor="text1"/>
          <w:sz w:val="22"/>
          <w:szCs w:val="22"/>
          <w:lang w:val="en-AU"/>
        </w:rPr>
        <w:t>e.g.</w:t>
      </w:r>
      <w:proofErr w:type="gramEnd"/>
      <w:r w:rsidRPr="006A48DC">
        <w:rPr>
          <w:rFonts w:ascii="Calibri" w:hAnsi="Calibri" w:cs="Calibri"/>
          <w:color w:val="000000" w:themeColor="text1"/>
          <w:sz w:val="22"/>
          <w:szCs w:val="22"/>
          <w:lang w:val="en-AU"/>
        </w:rPr>
        <w:t xml:space="preserve"> by </w:t>
      </w:r>
      <w:proofErr w:type="spellStart"/>
      <w:r w:rsidRPr="006A48DC">
        <w:rPr>
          <w:rFonts w:ascii="Calibri" w:hAnsi="Calibri" w:cs="Calibri"/>
          <w:color w:val="000000" w:themeColor="text1"/>
          <w:sz w:val="22"/>
          <w:szCs w:val="22"/>
          <w:lang w:val="en-AU"/>
        </w:rPr>
        <w:t>Zelizer</w:t>
      </w:r>
      <w:proofErr w:type="spellEnd"/>
      <w:r w:rsidRPr="006A48DC">
        <w:rPr>
          <w:rFonts w:ascii="Calibri" w:hAnsi="Calibri" w:cs="Calibri"/>
          <w:color w:val="000000" w:themeColor="text1"/>
          <w:sz w:val="22"/>
          <w:szCs w:val="22"/>
          <w:lang w:val="en-AU"/>
        </w:rPr>
        <w:t xml:space="preserve"> (2014, 2022; </w:t>
      </w:r>
      <w:proofErr w:type="spellStart"/>
      <w:r w:rsidRPr="006A48DC">
        <w:rPr>
          <w:rFonts w:ascii="Calibri" w:hAnsi="Calibri" w:cs="Calibri"/>
          <w:color w:val="000000" w:themeColor="text1"/>
          <w:sz w:val="22"/>
          <w:szCs w:val="22"/>
          <w:lang w:val="en-AU"/>
        </w:rPr>
        <w:t>Zelizer</w:t>
      </w:r>
      <w:proofErr w:type="spellEnd"/>
      <w:r w:rsidRPr="006A48DC">
        <w:rPr>
          <w:rFonts w:ascii="Calibri" w:hAnsi="Calibri" w:cs="Calibri"/>
          <w:color w:val="000000" w:themeColor="text1"/>
          <w:sz w:val="22"/>
          <w:szCs w:val="22"/>
          <w:lang w:val="en-AU"/>
        </w:rPr>
        <w:t xml:space="preserve"> and Allan 2010) – important actors in conflict transformation. Through their role as purveyors of meaning, which I have described in more detail elsewhere (</w:t>
      </w:r>
      <w:proofErr w:type="spellStart"/>
      <w:r w:rsidRPr="006A48DC">
        <w:rPr>
          <w:rFonts w:ascii="Calibri" w:hAnsi="Calibri" w:cs="Calibri"/>
          <w:color w:val="000000" w:themeColor="text1"/>
          <w:sz w:val="22"/>
          <w:szCs w:val="22"/>
          <w:lang w:val="en-AU"/>
        </w:rPr>
        <w:t>Legatis</w:t>
      </w:r>
      <w:proofErr w:type="spellEnd"/>
      <w:r w:rsidRPr="006A48DC">
        <w:rPr>
          <w:rFonts w:ascii="Calibri" w:hAnsi="Calibri" w:cs="Calibri"/>
          <w:color w:val="000000" w:themeColor="text1"/>
          <w:sz w:val="22"/>
          <w:szCs w:val="22"/>
          <w:lang w:val="en-AU"/>
        </w:rPr>
        <w:t xml:space="preserve"> 2012, 2015), they reach a wide range of audiences with their options for interpretation. Significant factors are the way they bring together attributions of causality, their understanding of configurations of actors, and ways of reading formative dynamics, including those related to the past and collective memories, and translate these into analytical narratives in the public sphere. In this way, media and journalists leave their mark on the collective perception of the course of conflicts, which in turn impacts the degree to which they can be transformed into peace-bearing structures (Deutsch 1998).</w:t>
      </w:r>
    </w:p>
    <w:p w14:paraId="47F547D9" w14:textId="5A168C7C" w:rsidR="00446BCB" w:rsidRPr="006A48DC" w:rsidRDefault="00FB3733" w:rsidP="00976901">
      <w:pPr>
        <w:spacing w:after="0" w:line="240" w:lineRule="auto"/>
        <w:jc w:val="both"/>
        <w:rPr>
          <w:rFonts w:ascii="Calibri" w:hAnsi="Calibri" w:cs="Calibri"/>
          <w:color w:val="000000" w:themeColor="text1"/>
        </w:rPr>
      </w:pPr>
      <w:r w:rsidRPr="006A48DC">
        <w:rPr>
          <w:rFonts w:ascii="Calibri" w:hAnsi="Calibri" w:cs="Calibri"/>
          <w:color w:val="000000" w:themeColor="text1"/>
        </w:rPr>
        <w:t xml:space="preserve">This </w:t>
      </w:r>
      <w:r w:rsidR="0075534F" w:rsidRPr="006A48DC">
        <w:rPr>
          <w:rFonts w:ascii="Calibri" w:hAnsi="Calibri" w:cs="Calibri"/>
          <w:color w:val="000000" w:themeColor="text1"/>
        </w:rPr>
        <w:t>paper</w:t>
      </w:r>
      <w:r w:rsidRPr="006A48DC">
        <w:rPr>
          <w:rFonts w:ascii="Calibri" w:hAnsi="Calibri" w:cs="Calibri"/>
          <w:color w:val="000000" w:themeColor="text1"/>
        </w:rPr>
        <w:t xml:space="preserve"> aims to provide the conceptual foundations </w:t>
      </w:r>
      <w:r w:rsidR="00376B54" w:rsidRPr="006A48DC">
        <w:rPr>
          <w:rFonts w:ascii="Calibri" w:hAnsi="Calibri" w:cs="Calibri"/>
          <w:color w:val="000000" w:themeColor="text1"/>
        </w:rPr>
        <w:t>underpinning the above</w:t>
      </w:r>
      <w:r w:rsidRPr="006A48DC">
        <w:rPr>
          <w:rFonts w:ascii="Calibri" w:hAnsi="Calibri" w:cs="Calibri"/>
          <w:color w:val="000000" w:themeColor="text1"/>
        </w:rPr>
        <w:t xml:space="preserve"> outline of the significance of journalistic engagement with the conflictive past in conflict transformation. A look at</w:t>
      </w:r>
      <w:r w:rsidR="00840EF4" w:rsidRPr="006A48DC">
        <w:rPr>
          <w:rFonts w:ascii="Calibri" w:hAnsi="Calibri" w:cs="Calibri"/>
          <w:color w:val="000000" w:themeColor="text1"/>
        </w:rPr>
        <w:t xml:space="preserve"> </w:t>
      </w:r>
      <w:r w:rsidR="0075534F" w:rsidRPr="006A48DC">
        <w:rPr>
          <w:rFonts w:ascii="Calibri" w:hAnsi="Calibri" w:cs="Calibri"/>
          <w:color w:val="000000" w:themeColor="text1"/>
        </w:rPr>
        <w:t>how journalists engage through their work with</w:t>
      </w:r>
      <w:r w:rsidR="00840EF4" w:rsidRPr="006A48DC">
        <w:rPr>
          <w:rFonts w:ascii="Calibri" w:hAnsi="Calibri" w:cs="Calibri"/>
          <w:color w:val="000000" w:themeColor="text1"/>
        </w:rPr>
        <w:t xml:space="preserve"> the memory of forcefully disappeared people</w:t>
      </w:r>
      <w:r w:rsidR="0075534F" w:rsidRPr="006A48DC">
        <w:rPr>
          <w:rFonts w:ascii="Calibri" w:hAnsi="Calibri" w:cs="Calibri"/>
          <w:color w:val="000000" w:themeColor="text1"/>
        </w:rPr>
        <w:t xml:space="preserve">, specifically in Colombia’s peace process, will serve to explore related experiences in the field. </w:t>
      </w:r>
      <w:r w:rsidRPr="006A48DC">
        <w:rPr>
          <w:rFonts w:ascii="Calibri" w:hAnsi="Calibri" w:cs="Calibri"/>
          <w:color w:val="000000" w:themeColor="text1"/>
        </w:rPr>
        <w:t xml:space="preserve">In lieu of a conclusion the </w:t>
      </w:r>
      <w:r w:rsidR="00840EF4" w:rsidRPr="006A48DC">
        <w:rPr>
          <w:rFonts w:ascii="Calibri" w:hAnsi="Calibri" w:cs="Calibri"/>
          <w:color w:val="000000" w:themeColor="text1"/>
        </w:rPr>
        <w:t>paper</w:t>
      </w:r>
      <w:r w:rsidRPr="006A48DC">
        <w:rPr>
          <w:rFonts w:ascii="Calibri" w:hAnsi="Calibri" w:cs="Calibri"/>
          <w:color w:val="000000" w:themeColor="text1"/>
        </w:rPr>
        <w:t xml:space="preserve"> will close with </w:t>
      </w:r>
      <w:r w:rsidR="00376B54" w:rsidRPr="006A48DC">
        <w:rPr>
          <w:rFonts w:ascii="Calibri" w:hAnsi="Calibri" w:cs="Calibri"/>
          <w:color w:val="000000" w:themeColor="text1"/>
        </w:rPr>
        <w:t>some</w:t>
      </w:r>
      <w:r w:rsidRPr="006A48DC">
        <w:rPr>
          <w:rFonts w:ascii="Calibri" w:hAnsi="Calibri" w:cs="Calibri"/>
          <w:color w:val="000000" w:themeColor="text1"/>
        </w:rPr>
        <w:t xml:space="preserve"> analytical considerations derived from the observations and arguments presented in it, along with recommendations for further practical and scholarly work in this area.</w:t>
      </w:r>
      <w:r w:rsidR="00840EF4" w:rsidRPr="006A48DC">
        <w:rPr>
          <w:rFonts w:ascii="Calibri" w:hAnsi="Calibri" w:cs="Calibri"/>
          <w:color w:val="000000" w:themeColor="text1"/>
        </w:rPr>
        <w:t xml:space="preserve"> (50</w:t>
      </w:r>
      <w:r w:rsidR="00841801" w:rsidRPr="006A48DC">
        <w:rPr>
          <w:rFonts w:ascii="Calibri" w:hAnsi="Calibri" w:cs="Calibri"/>
          <w:color w:val="000000" w:themeColor="text1"/>
        </w:rPr>
        <w:t>6</w:t>
      </w:r>
      <w:r w:rsidR="00840EF4" w:rsidRPr="006A48DC">
        <w:rPr>
          <w:rFonts w:ascii="Calibri" w:hAnsi="Calibri" w:cs="Calibri"/>
          <w:color w:val="000000" w:themeColor="text1"/>
        </w:rPr>
        <w:t>w)</w:t>
      </w:r>
    </w:p>
    <w:p w14:paraId="6DFD0132" w14:textId="77777777" w:rsidR="00976901" w:rsidRPr="006A48DC" w:rsidRDefault="00976901" w:rsidP="00976901">
      <w:pPr>
        <w:spacing w:after="0" w:line="240" w:lineRule="auto"/>
        <w:jc w:val="both"/>
        <w:rPr>
          <w:rFonts w:ascii="Calibri" w:hAnsi="Calibri" w:cs="Calibri"/>
          <w:color w:val="000000" w:themeColor="text1"/>
        </w:rPr>
      </w:pPr>
    </w:p>
    <w:p w14:paraId="58ACB584" w14:textId="3340F0D9" w:rsidR="00976901" w:rsidRPr="006A48DC" w:rsidRDefault="00976901" w:rsidP="00976901">
      <w:pPr>
        <w:spacing w:after="0" w:line="240" w:lineRule="auto"/>
        <w:jc w:val="both"/>
        <w:rPr>
          <w:rFonts w:cstheme="minorHAnsi"/>
          <w:color w:val="000000" w:themeColor="text1"/>
        </w:rPr>
      </w:pPr>
      <w:r w:rsidRPr="006A48DC">
        <w:rPr>
          <w:rFonts w:cstheme="minorHAnsi"/>
          <w:color w:val="000000" w:themeColor="text1"/>
        </w:rPr>
        <w:t>References</w:t>
      </w:r>
    </w:p>
    <w:p w14:paraId="30742F41" w14:textId="77777777" w:rsidR="00976901" w:rsidRPr="006A48DC" w:rsidRDefault="00976901" w:rsidP="00976901">
      <w:pPr>
        <w:spacing w:after="0" w:line="240" w:lineRule="auto"/>
        <w:ind w:firstLine="426"/>
        <w:jc w:val="both"/>
        <w:rPr>
          <w:rFonts w:cstheme="minorHAnsi"/>
          <w:color w:val="000000" w:themeColor="text1"/>
        </w:rPr>
      </w:pPr>
      <w:r w:rsidRPr="006A48DC">
        <w:rPr>
          <w:rFonts w:cstheme="minorHAnsi"/>
          <w:b/>
          <w:bCs/>
          <w:color w:val="000000" w:themeColor="text1"/>
        </w:rPr>
        <w:t>Breen Smyth</w:t>
      </w:r>
      <w:r w:rsidRPr="006A48DC">
        <w:rPr>
          <w:rFonts w:cstheme="minorHAnsi"/>
          <w:color w:val="000000" w:themeColor="text1"/>
        </w:rPr>
        <w:t xml:space="preserve">, Marie. 2007. </w:t>
      </w:r>
      <w:r w:rsidRPr="006A48DC">
        <w:rPr>
          <w:rFonts w:cstheme="minorHAnsi"/>
          <w:i/>
          <w:color w:val="000000" w:themeColor="text1"/>
        </w:rPr>
        <w:t>Truth recovery and justice after conflict - managing violent pasts.</w:t>
      </w:r>
      <w:r w:rsidRPr="006A48DC">
        <w:rPr>
          <w:rFonts w:cstheme="minorHAnsi"/>
          <w:color w:val="000000" w:themeColor="text1"/>
        </w:rPr>
        <w:t xml:space="preserve"> Abingdon and New York: Routledge.</w:t>
      </w:r>
    </w:p>
    <w:p w14:paraId="7848FB91" w14:textId="5230BFF5" w:rsidR="00976901" w:rsidRPr="006A48DC" w:rsidRDefault="00976901" w:rsidP="00976901">
      <w:pPr>
        <w:spacing w:after="0" w:line="240" w:lineRule="auto"/>
        <w:ind w:firstLine="426"/>
        <w:jc w:val="both"/>
        <w:rPr>
          <w:rFonts w:cstheme="minorHAnsi"/>
          <w:color w:val="000000" w:themeColor="text1"/>
        </w:rPr>
      </w:pPr>
      <w:r w:rsidRPr="006A48DC">
        <w:rPr>
          <w:rFonts w:cstheme="minorHAnsi"/>
          <w:b/>
          <w:color w:val="000000" w:themeColor="text1"/>
        </w:rPr>
        <w:t>Deutsch,</w:t>
      </w:r>
      <w:r w:rsidRPr="006A48DC">
        <w:rPr>
          <w:rFonts w:cstheme="minorHAnsi"/>
          <w:color w:val="000000" w:themeColor="text1"/>
        </w:rPr>
        <w:t xml:space="preserve"> Morton, 1998. "Constructive Conflict Resolution: Principles, Training and Research". In: </w:t>
      </w:r>
      <w:r w:rsidRPr="006A48DC">
        <w:rPr>
          <w:rFonts w:cstheme="minorHAnsi"/>
          <w:i/>
          <w:color w:val="000000" w:themeColor="text1"/>
        </w:rPr>
        <w:t>The Handbook of Interethnic Coexistence</w:t>
      </w:r>
      <w:r w:rsidRPr="006A48DC">
        <w:rPr>
          <w:rFonts w:cstheme="minorHAnsi"/>
          <w:color w:val="000000" w:themeColor="text1"/>
        </w:rPr>
        <w:t>, edited by Weiner, Eugen.  199-216. The Continuum Publishing Company.</w:t>
      </w:r>
    </w:p>
    <w:p w14:paraId="6782450D" w14:textId="77777777" w:rsidR="00976901" w:rsidRPr="006A48DC" w:rsidRDefault="00976901" w:rsidP="00976901">
      <w:pPr>
        <w:spacing w:after="0" w:line="240" w:lineRule="auto"/>
        <w:ind w:firstLine="426"/>
        <w:jc w:val="both"/>
        <w:rPr>
          <w:rFonts w:cstheme="minorHAnsi"/>
          <w:color w:val="000000" w:themeColor="text1"/>
        </w:rPr>
      </w:pPr>
      <w:proofErr w:type="spellStart"/>
      <w:r w:rsidRPr="006A48DC">
        <w:rPr>
          <w:rFonts w:cstheme="minorHAnsi"/>
          <w:b/>
          <w:bCs/>
          <w:color w:val="000000" w:themeColor="text1"/>
        </w:rPr>
        <w:lastRenderedPageBreak/>
        <w:t>Legatis</w:t>
      </w:r>
      <w:proofErr w:type="spellEnd"/>
      <w:r w:rsidRPr="006A48DC">
        <w:rPr>
          <w:rFonts w:cstheme="minorHAnsi"/>
          <w:color w:val="000000" w:themeColor="text1"/>
        </w:rPr>
        <w:t xml:space="preserve">, </w:t>
      </w:r>
      <w:proofErr w:type="spellStart"/>
      <w:r w:rsidRPr="006A48DC">
        <w:rPr>
          <w:rFonts w:cstheme="minorHAnsi"/>
          <w:color w:val="000000" w:themeColor="text1"/>
        </w:rPr>
        <w:t>Rousbeh</w:t>
      </w:r>
      <w:proofErr w:type="spellEnd"/>
      <w:r w:rsidRPr="006A48DC">
        <w:rPr>
          <w:rFonts w:cstheme="minorHAnsi"/>
          <w:color w:val="000000" w:themeColor="text1"/>
        </w:rPr>
        <w:t xml:space="preserve">. 2015. “Media-related peacebuilding in processes of conflict transformation”. In </w:t>
      </w:r>
      <w:proofErr w:type="spellStart"/>
      <w:r w:rsidRPr="006A48DC">
        <w:rPr>
          <w:rFonts w:cstheme="minorHAnsi"/>
          <w:i/>
          <w:color w:val="000000" w:themeColor="text1"/>
        </w:rPr>
        <w:t>Berghof</w:t>
      </w:r>
      <w:proofErr w:type="spellEnd"/>
      <w:r w:rsidRPr="006A48DC">
        <w:rPr>
          <w:rFonts w:cstheme="minorHAnsi"/>
          <w:i/>
          <w:color w:val="000000" w:themeColor="text1"/>
        </w:rPr>
        <w:t xml:space="preserve"> handbook for conflict transformation</w:t>
      </w:r>
      <w:r w:rsidRPr="006A48DC">
        <w:rPr>
          <w:rFonts w:cstheme="minorHAnsi"/>
          <w:color w:val="000000" w:themeColor="text1"/>
        </w:rPr>
        <w:t xml:space="preserve">, online edition (accessed 10 December 2021), </w:t>
      </w:r>
    </w:p>
    <w:p w14:paraId="0B9FF5D8" w14:textId="77777777" w:rsidR="00976901" w:rsidRPr="006A48DC" w:rsidRDefault="00976901" w:rsidP="00976901">
      <w:pPr>
        <w:spacing w:after="0" w:line="240" w:lineRule="auto"/>
        <w:ind w:firstLine="426"/>
        <w:jc w:val="both"/>
        <w:rPr>
          <w:rFonts w:cstheme="minorHAnsi"/>
          <w:color w:val="000000" w:themeColor="text1"/>
        </w:rPr>
      </w:pPr>
      <w:r w:rsidRPr="006A48DC">
        <w:rPr>
          <w:rFonts w:cstheme="minorHAnsi"/>
          <w:color w:val="000000" w:themeColor="text1"/>
        </w:rPr>
        <w:t>&lt;https://berghof-foundation.org/library/media-related-peacebuilding-in-processes-of-conflict-transformation&gt;.</w:t>
      </w:r>
    </w:p>
    <w:p w14:paraId="522B6019" w14:textId="47F2A830" w:rsidR="00976901" w:rsidRPr="006A48DC" w:rsidRDefault="00976901" w:rsidP="00976901">
      <w:pPr>
        <w:spacing w:after="0" w:line="240" w:lineRule="auto"/>
        <w:ind w:firstLine="426"/>
        <w:jc w:val="both"/>
        <w:rPr>
          <w:rFonts w:cstheme="minorHAnsi"/>
          <w:bCs/>
          <w:color w:val="000000" w:themeColor="text1"/>
        </w:rPr>
      </w:pPr>
      <w:r w:rsidRPr="006A48DC">
        <w:rPr>
          <w:rFonts w:cstheme="minorHAnsi"/>
          <w:bCs/>
          <w:color w:val="000000" w:themeColor="text1"/>
        </w:rPr>
        <w:t xml:space="preserve">2012. </w:t>
      </w:r>
      <w:r w:rsidRPr="006A48DC">
        <w:rPr>
          <w:rFonts w:cstheme="minorHAnsi"/>
          <w:bCs/>
          <w:color w:val="000000" w:themeColor="text1"/>
        </w:rPr>
        <w:t xml:space="preserve">Die </w:t>
      </w:r>
      <w:proofErr w:type="spellStart"/>
      <w:r w:rsidRPr="006A48DC">
        <w:rPr>
          <w:rFonts w:cstheme="minorHAnsi"/>
          <w:bCs/>
          <w:color w:val="000000" w:themeColor="text1"/>
        </w:rPr>
        <w:t>Unentbehrlichen</w:t>
      </w:r>
      <w:proofErr w:type="spellEnd"/>
      <w:r w:rsidRPr="006A48DC">
        <w:rPr>
          <w:rFonts w:cstheme="minorHAnsi"/>
          <w:bCs/>
          <w:color w:val="000000" w:themeColor="text1"/>
        </w:rPr>
        <w:t xml:space="preserve">: </w:t>
      </w:r>
      <w:proofErr w:type="spellStart"/>
      <w:r w:rsidRPr="006A48DC">
        <w:rPr>
          <w:rFonts w:cstheme="minorHAnsi"/>
          <w:bCs/>
          <w:color w:val="000000" w:themeColor="text1"/>
        </w:rPr>
        <w:t>Zur</w:t>
      </w:r>
      <w:proofErr w:type="spellEnd"/>
      <w:r w:rsidRPr="006A48DC">
        <w:rPr>
          <w:rFonts w:cstheme="minorHAnsi"/>
          <w:bCs/>
          <w:color w:val="000000" w:themeColor="text1"/>
        </w:rPr>
        <w:t xml:space="preserve"> </w:t>
      </w:r>
      <w:proofErr w:type="spellStart"/>
      <w:r w:rsidRPr="006A48DC">
        <w:rPr>
          <w:rFonts w:cstheme="minorHAnsi"/>
          <w:bCs/>
          <w:color w:val="000000" w:themeColor="text1"/>
        </w:rPr>
        <w:t>konstruktiven</w:t>
      </w:r>
      <w:proofErr w:type="spellEnd"/>
      <w:r w:rsidRPr="006A48DC">
        <w:rPr>
          <w:rFonts w:cstheme="minorHAnsi"/>
          <w:bCs/>
          <w:color w:val="000000" w:themeColor="text1"/>
        </w:rPr>
        <w:t xml:space="preserve"> Rolle von </w:t>
      </w:r>
      <w:proofErr w:type="spellStart"/>
      <w:r w:rsidRPr="006A48DC">
        <w:rPr>
          <w:rFonts w:cstheme="minorHAnsi"/>
          <w:bCs/>
          <w:color w:val="000000" w:themeColor="text1"/>
        </w:rPr>
        <w:t>Medien</w:t>
      </w:r>
      <w:proofErr w:type="spellEnd"/>
      <w:r w:rsidRPr="006A48DC">
        <w:rPr>
          <w:rFonts w:cstheme="minorHAnsi"/>
          <w:bCs/>
          <w:color w:val="000000" w:themeColor="text1"/>
        </w:rPr>
        <w:t xml:space="preserve"> und </w:t>
      </w:r>
      <w:proofErr w:type="spellStart"/>
      <w:r w:rsidRPr="006A48DC">
        <w:rPr>
          <w:rFonts w:cstheme="minorHAnsi"/>
          <w:bCs/>
          <w:color w:val="000000" w:themeColor="text1"/>
        </w:rPr>
        <w:t>Journalisten</w:t>
      </w:r>
      <w:proofErr w:type="spellEnd"/>
      <w:r w:rsidRPr="006A48DC">
        <w:rPr>
          <w:rFonts w:cstheme="minorHAnsi"/>
          <w:bCs/>
          <w:color w:val="000000" w:themeColor="text1"/>
        </w:rPr>
        <w:t xml:space="preserve"> </w:t>
      </w:r>
      <w:proofErr w:type="spellStart"/>
      <w:r w:rsidRPr="006A48DC">
        <w:rPr>
          <w:rFonts w:cstheme="minorHAnsi"/>
          <w:bCs/>
          <w:color w:val="000000" w:themeColor="text1"/>
        </w:rPr>
        <w:t>im</w:t>
      </w:r>
      <w:proofErr w:type="spellEnd"/>
      <w:r w:rsidRPr="006A48DC">
        <w:rPr>
          <w:rFonts w:cstheme="minorHAnsi"/>
          <w:bCs/>
          <w:color w:val="000000" w:themeColor="text1"/>
        </w:rPr>
        <w:t xml:space="preserve"> peacebuilding. In: </w:t>
      </w:r>
      <w:proofErr w:type="spellStart"/>
      <w:r w:rsidRPr="006A48DC">
        <w:rPr>
          <w:rFonts w:cstheme="minorHAnsi"/>
          <w:bCs/>
          <w:i/>
          <w:iCs/>
          <w:color w:val="000000" w:themeColor="text1"/>
        </w:rPr>
        <w:t>Zeitschrift</w:t>
      </w:r>
      <w:proofErr w:type="spellEnd"/>
      <w:r w:rsidRPr="006A48DC">
        <w:rPr>
          <w:rFonts w:cstheme="minorHAnsi"/>
          <w:bCs/>
          <w:i/>
          <w:iCs/>
          <w:color w:val="000000" w:themeColor="text1"/>
        </w:rPr>
        <w:t xml:space="preserve"> für Friedens- und </w:t>
      </w:r>
      <w:proofErr w:type="spellStart"/>
      <w:r w:rsidRPr="006A48DC">
        <w:rPr>
          <w:rFonts w:cstheme="minorHAnsi"/>
          <w:bCs/>
          <w:i/>
          <w:iCs/>
          <w:color w:val="000000" w:themeColor="text1"/>
        </w:rPr>
        <w:t>Konfliktforschung</w:t>
      </w:r>
      <w:proofErr w:type="spellEnd"/>
      <w:r w:rsidRPr="006A48DC">
        <w:rPr>
          <w:rFonts w:cstheme="minorHAnsi"/>
          <w:bCs/>
          <w:color w:val="000000" w:themeColor="text1"/>
        </w:rPr>
        <w:t xml:space="preserve">, </w:t>
      </w:r>
      <w:r w:rsidRPr="006A48DC">
        <w:rPr>
          <w:rFonts w:cstheme="minorHAnsi"/>
          <w:bCs/>
          <w:color w:val="000000" w:themeColor="text1"/>
        </w:rPr>
        <w:t>Vol. 1, No. 1, pp. 106-140</w:t>
      </w:r>
      <w:r w:rsidRPr="006A48DC">
        <w:rPr>
          <w:rFonts w:cstheme="minorHAnsi"/>
          <w:bCs/>
          <w:color w:val="000000" w:themeColor="text1"/>
        </w:rPr>
        <w:t>.</w:t>
      </w:r>
    </w:p>
    <w:p w14:paraId="3F7AC529" w14:textId="77777777" w:rsidR="00976901" w:rsidRPr="006A48DC" w:rsidRDefault="00976901" w:rsidP="00976901">
      <w:pPr>
        <w:spacing w:after="0" w:line="240" w:lineRule="auto"/>
        <w:ind w:firstLine="426"/>
        <w:jc w:val="both"/>
        <w:rPr>
          <w:rFonts w:cstheme="minorHAnsi"/>
          <w:color w:val="000000" w:themeColor="text1"/>
        </w:rPr>
      </w:pPr>
      <w:proofErr w:type="spellStart"/>
      <w:r w:rsidRPr="006A48DC">
        <w:rPr>
          <w:rFonts w:cstheme="minorHAnsi"/>
          <w:b/>
          <w:color w:val="000000" w:themeColor="text1"/>
        </w:rPr>
        <w:t>Neiger</w:t>
      </w:r>
      <w:proofErr w:type="spellEnd"/>
      <w:r w:rsidRPr="006A48DC">
        <w:rPr>
          <w:rFonts w:cstheme="minorHAnsi"/>
          <w:b/>
          <w:color w:val="000000" w:themeColor="text1"/>
        </w:rPr>
        <w:t>,</w:t>
      </w:r>
      <w:r w:rsidRPr="006A48DC">
        <w:rPr>
          <w:rFonts w:cstheme="minorHAnsi"/>
          <w:color w:val="000000" w:themeColor="text1"/>
        </w:rPr>
        <w:t xml:space="preserve"> </w:t>
      </w:r>
      <w:proofErr w:type="spellStart"/>
      <w:r w:rsidRPr="006A48DC">
        <w:rPr>
          <w:rFonts w:cstheme="minorHAnsi"/>
          <w:color w:val="000000" w:themeColor="text1"/>
        </w:rPr>
        <w:t>Motti</w:t>
      </w:r>
      <w:proofErr w:type="spellEnd"/>
      <w:r w:rsidRPr="006A48DC">
        <w:rPr>
          <w:rFonts w:cstheme="minorHAnsi"/>
          <w:color w:val="000000" w:themeColor="text1"/>
        </w:rPr>
        <w:t xml:space="preserve">, Oren </w:t>
      </w:r>
      <w:r w:rsidRPr="006A48DC">
        <w:rPr>
          <w:rFonts w:cstheme="minorHAnsi"/>
          <w:b/>
          <w:color w:val="000000" w:themeColor="text1"/>
        </w:rPr>
        <w:t xml:space="preserve">Meyers </w:t>
      </w:r>
      <w:r w:rsidRPr="006A48DC">
        <w:rPr>
          <w:rFonts w:cstheme="minorHAnsi"/>
          <w:color w:val="000000" w:themeColor="text1"/>
        </w:rPr>
        <w:t xml:space="preserve">and </w:t>
      </w:r>
      <w:proofErr w:type="spellStart"/>
      <w:r w:rsidRPr="006A48DC">
        <w:rPr>
          <w:rFonts w:cstheme="minorHAnsi"/>
          <w:color w:val="000000" w:themeColor="text1"/>
        </w:rPr>
        <w:t>Eyal</w:t>
      </w:r>
      <w:proofErr w:type="spellEnd"/>
      <w:r w:rsidRPr="006A48DC">
        <w:rPr>
          <w:rFonts w:cstheme="minorHAnsi"/>
          <w:color w:val="000000" w:themeColor="text1"/>
        </w:rPr>
        <w:t xml:space="preserve"> </w:t>
      </w:r>
      <w:proofErr w:type="spellStart"/>
      <w:r w:rsidRPr="006A48DC">
        <w:rPr>
          <w:rFonts w:cstheme="minorHAnsi"/>
          <w:b/>
          <w:color w:val="000000" w:themeColor="text1"/>
        </w:rPr>
        <w:t>Zandberg</w:t>
      </w:r>
      <w:proofErr w:type="spellEnd"/>
      <w:r w:rsidRPr="006A48DC">
        <w:rPr>
          <w:rFonts w:cstheme="minorHAnsi"/>
          <w:color w:val="000000" w:themeColor="text1"/>
        </w:rPr>
        <w:t xml:space="preserve">. 2011. </w:t>
      </w:r>
      <w:r w:rsidRPr="006A48DC">
        <w:rPr>
          <w:rFonts w:cstheme="minorHAnsi"/>
          <w:i/>
          <w:color w:val="000000" w:themeColor="text1"/>
        </w:rPr>
        <w:t>On Media Memory: Collective Memory in a New Media Age</w:t>
      </w:r>
      <w:r w:rsidRPr="006A48DC">
        <w:rPr>
          <w:rFonts w:cstheme="minorHAnsi"/>
          <w:color w:val="000000" w:themeColor="text1"/>
        </w:rPr>
        <w:t>. Basingstoke: Palgrave Macmillan.</w:t>
      </w:r>
    </w:p>
    <w:p w14:paraId="52E893CB" w14:textId="79E15C18" w:rsidR="00976901" w:rsidRPr="006A48DC" w:rsidRDefault="00976901" w:rsidP="00976901">
      <w:pPr>
        <w:spacing w:after="0" w:line="240" w:lineRule="auto"/>
        <w:ind w:firstLine="426"/>
        <w:jc w:val="both"/>
        <w:rPr>
          <w:rFonts w:cstheme="minorHAnsi"/>
          <w:color w:val="000000" w:themeColor="text1"/>
        </w:rPr>
      </w:pPr>
      <w:r w:rsidRPr="006A48DC">
        <w:rPr>
          <w:rFonts w:cstheme="minorHAnsi"/>
          <w:b/>
          <w:color w:val="000000" w:themeColor="text1"/>
        </w:rPr>
        <w:t>Meyers</w:t>
      </w:r>
      <w:r w:rsidRPr="006A48DC">
        <w:rPr>
          <w:rFonts w:cstheme="minorHAnsi"/>
          <w:color w:val="000000" w:themeColor="text1"/>
        </w:rPr>
        <w:t xml:space="preserve">, Diana. 2016. </w:t>
      </w:r>
      <w:r w:rsidRPr="006A48DC">
        <w:rPr>
          <w:rFonts w:cstheme="minorHAnsi"/>
          <w:i/>
          <w:color w:val="000000" w:themeColor="text1"/>
        </w:rPr>
        <w:t>Victim’s stories and the advancements of human rights</w:t>
      </w:r>
      <w:r w:rsidRPr="006A48DC">
        <w:rPr>
          <w:rFonts w:cstheme="minorHAnsi"/>
          <w:color w:val="000000" w:themeColor="text1"/>
        </w:rPr>
        <w:t>. New York: Oxford University Press.</w:t>
      </w:r>
    </w:p>
    <w:p w14:paraId="049703A9" w14:textId="0BC070A2" w:rsidR="00976901" w:rsidRPr="006A48DC" w:rsidRDefault="00976901" w:rsidP="00976901">
      <w:pPr>
        <w:spacing w:after="0" w:line="240" w:lineRule="auto"/>
        <w:ind w:firstLine="426"/>
        <w:jc w:val="both"/>
        <w:rPr>
          <w:rFonts w:cstheme="minorHAnsi"/>
          <w:color w:val="000000" w:themeColor="text1"/>
        </w:rPr>
      </w:pPr>
      <w:proofErr w:type="spellStart"/>
      <w:r w:rsidRPr="006A48DC">
        <w:rPr>
          <w:rFonts w:cstheme="minorHAnsi"/>
          <w:b/>
          <w:color w:val="000000" w:themeColor="text1"/>
        </w:rPr>
        <w:t>Paez</w:t>
      </w:r>
      <w:proofErr w:type="spellEnd"/>
      <w:r w:rsidRPr="006A48DC">
        <w:rPr>
          <w:rFonts w:cstheme="minorHAnsi"/>
          <w:color w:val="000000" w:themeColor="text1"/>
        </w:rPr>
        <w:t xml:space="preserve">, Dario R. and James </w:t>
      </w:r>
      <w:r w:rsidRPr="006A48DC">
        <w:rPr>
          <w:rFonts w:cstheme="minorHAnsi"/>
          <w:b/>
          <w:color w:val="000000" w:themeColor="text1"/>
        </w:rPr>
        <w:t>Hou-fu Liu.</w:t>
      </w:r>
      <w:r w:rsidRPr="006A48DC">
        <w:rPr>
          <w:rFonts w:cstheme="minorHAnsi"/>
          <w:color w:val="000000" w:themeColor="text1"/>
        </w:rPr>
        <w:t xml:space="preserve"> 2011. "Collective Memory of Conflicts", in: </w:t>
      </w:r>
      <w:r w:rsidRPr="006A48DC">
        <w:rPr>
          <w:rFonts w:cstheme="minorHAnsi"/>
          <w:i/>
          <w:color w:val="000000" w:themeColor="text1"/>
        </w:rPr>
        <w:t>Intergroup Conflicts and Their Resolution. A Social Psychological Perspective</w:t>
      </w:r>
      <w:r w:rsidRPr="006A48DC">
        <w:rPr>
          <w:rFonts w:cstheme="minorHAnsi"/>
          <w:color w:val="000000" w:themeColor="text1"/>
        </w:rPr>
        <w:t>, edited by Bar-Tal, Daniel, 105-124. New York, London: Psychology Press.</w:t>
      </w:r>
    </w:p>
    <w:p w14:paraId="639A23B2" w14:textId="77777777" w:rsidR="00976901" w:rsidRPr="006A48DC" w:rsidRDefault="00976901" w:rsidP="00976901">
      <w:pPr>
        <w:spacing w:after="0" w:line="240" w:lineRule="auto"/>
        <w:ind w:firstLine="426"/>
        <w:jc w:val="both"/>
        <w:rPr>
          <w:rFonts w:cstheme="minorHAnsi"/>
          <w:color w:val="000000" w:themeColor="text1"/>
        </w:rPr>
      </w:pPr>
      <w:r w:rsidRPr="006A48DC">
        <w:rPr>
          <w:rFonts w:cstheme="minorHAnsi"/>
          <w:b/>
          <w:bCs/>
          <w:color w:val="000000" w:themeColor="text1"/>
        </w:rPr>
        <w:t>Schmidt</w:t>
      </w:r>
      <w:r w:rsidRPr="006A48DC">
        <w:rPr>
          <w:rFonts w:cstheme="minorHAnsi"/>
          <w:color w:val="000000" w:themeColor="text1"/>
        </w:rPr>
        <w:t xml:space="preserve">, Siegfried. 2010. “Memory and remembrance - a constructivist approach”. In: </w:t>
      </w:r>
      <w:r w:rsidRPr="006A48DC">
        <w:rPr>
          <w:rFonts w:cstheme="minorHAnsi"/>
          <w:i/>
          <w:color w:val="000000" w:themeColor="text1"/>
        </w:rPr>
        <w:t>A companion to cultural memory studies</w:t>
      </w:r>
      <w:r w:rsidRPr="006A48DC">
        <w:rPr>
          <w:rFonts w:cstheme="minorHAnsi"/>
          <w:color w:val="000000" w:themeColor="text1"/>
        </w:rPr>
        <w:t xml:space="preserve">, edited by </w:t>
      </w:r>
      <w:proofErr w:type="spellStart"/>
      <w:r w:rsidRPr="006A48DC">
        <w:rPr>
          <w:rFonts w:cstheme="minorHAnsi"/>
          <w:color w:val="000000" w:themeColor="text1"/>
        </w:rPr>
        <w:t>Erll</w:t>
      </w:r>
      <w:proofErr w:type="spellEnd"/>
      <w:r w:rsidRPr="006A48DC">
        <w:rPr>
          <w:rFonts w:cstheme="minorHAnsi"/>
          <w:color w:val="000000" w:themeColor="text1"/>
        </w:rPr>
        <w:t xml:space="preserve">, Astrid and Ansgar </w:t>
      </w:r>
      <w:proofErr w:type="spellStart"/>
      <w:r w:rsidRPr="006A48DC">
        <w:rPr>
          <w:rFonts w:cstheme="minorHAnsi"/>
          <w:color w:val="000000" w:themeColor="text1"/>
        </w:rPr>
        <w:t>Nünning</w:t>
      </w:r>
      <w:proofErr w:type="spellEnd"/>
      <w:r w:rsidRPr="006A48DC">
        <w:rPr>
          <w:rFonts w:cstheme="minorHAnsi"/>
          <w:color w:val="000000" w:themeColor="text1"/>
        </w:rPr>
        <w:t>, 191-201. Berlin and New York: Walter de Gruyter.</w:t>
      </w:r>
    </w:p>
    <w:p w14:paraId="74821C80" w14:textId="77777777" w:rsidR="00976901" w:rsidRPr="006A48DC" w:rsidRDefault="00976901" w:rsidP="00976901">
      <w:pPr>
        <w:spacing w:after="0" w:line="240" w:lineRule="auto"/>
        <w:ind w:firstLine="426"/>
        <w:jc w:val="both"/>
        <w:rPr>
          <w:rFonts w:cstheme="minorHAnsi"/>
          <w:color w:val="000000" w:themeColor="text1"/>
        </w:rPr>
      </w:pPr>
      <w:proofErr w:type="spellStart"/>
      <w:r w:rsidRPr="006A48DC">
        <w:rPr>
          <w:rFonts w:cstheme="minorHAnsi"/>
          <w:b/>
          <w:color w:val="000000" w:themeColor="text1"/>
        </w:rPr>
        <w:t>Zelizer</w:t>
      </w:r>
      <w:proofErr w:type="spellEnd"/>
      <w:r w:rsidRPr="006A48DC">
        <w:rPr>
          <w:rFonts w:cstheme="minorHAnsi"/>
          <w:color w:val="000000" w:themeColor="text1"/>
        </w:rPr>
        <w:t xml:space="preserve">, Barbie. 2008. "Journalism’s Memory Work".  </w:t>
      </w:r>
      <w:r w:rsidRPr="006A48DC">
        <w:rPr>
          <w:rFonts w:cstheme="minorHAnsi"/>
          <w:i/>
          <w:color w:val="000000" w:themeColor="text1"/>
        </w:rPr>
        <w:t>A companion to cultural memory studies</w:t>
      </w:r>
      <w:r w:rsidRPr="006A48DC">
        <w:rPr>
          <w:rFonts w:cstheme="minorHAnsi"/>
          <w:color w:val="000000" w:themeColor="text1"/>
        </w:rPr>
        <w:t xml:space="preserve">, edited by Astrid </w:t>
      </w:r>
      <w:proofErr w:type="spellStart"/>
      <w:r w:rsidRPr="006A48DC">
        <w:rPr>
          <w:rFonts w:cstheme="minorHAnsi"/>
          <w:color w:val="000000" w:themeColor="text1"/>
        </w:rPr>
        <w:t>Erll</w:t>
      </w:r>
      <w:proofErr w:type="spellEnd"/>
      <w:r w:rsidRPr="006A48DC">
        <w:rPr>
          <w:rFonts w:cstheme="minorHAnsi"/>
          <w:color w:val="000000" w:themeColor="text1"/>
        </w:rPr>
        <w:t xml:space="preserve"> and Ansgar </w:t>
      </w:r>
      <w:proofErr w:type="spellStart"/>
      <w:r w:rsidRPr="006A48DC">
        <w:rPr>
          <w:rFonts w:cstheme="minorHAnsi"/>
          <w:color w:val="000000" w:themeColor="text1"/>
        </w:rPr>
        <w:t>Nünning</w:t>
      </w:r>
      <w:proofErr w:type="spellEnd"/>
      <w:r w:rsidRPr="006A48DC">
        <w:rPr>
          <w:rFonts w:cstheme="minorHAnsi"/>
          <w:color w:val="000000" w:themeColor="text1"/>
        </w:rPr>
        <w:t>, Berlin, 379-388. New York: De Gruyter.</w:t>
      </w:r>
    </w:p>
    <w:p w14:paraId="7F5E4561" w14:textId="5E98A4C7" w:rsidR="006A48DC" w:rsidRPr="006A48DC" w:rsidRDefault="00976901" w:rsidP="006A48DC">
      <w:pPr>
        <w:spacing w:after="0" w:line="240" w:lineRule="auto"/>
        <w:ind w:firstLine="426"/>
        <w:jc w:val="both"/>
        <w:rPr>
          <w:rFonts w:cstheme="minorHAnsi"/>
          <w:color w:val="000000" w:themeColor="text1"/>
        </w:rPr>
      </w:pPr>
      <w:r w:rsidRPr="006A48DC">
        <w:rPr>
          <w:rFonts w:cstheme="minorHAnsi"/>
          <w:color w:val="000000" w:themeColor="text1"/>
        </w:rPr>
        <w:t xml:space="preserve">--and Stuart </w:t>
      </w:r>
      <w:r w:rsidRPr="006A48DC">
        <w:rPr>
          <w:rFonts w:cstheme="minorHAnsi"/>
          <w:b/>
          <w:color w:val="000000" w:themeColor="text1"/>
        </w:rPr>
        <w:t>Allan</w:t>
      </w:r>
      <w:r w:rsidRPr="006A48DC">
        <w:rPr>
          <w:rFonts w:cstheme="minorHAnsi"/>
          <w:color w:val="000000" w:themeColor="text1"/>
        </w:rPr>
        <w:t xml:space="preserve">. 2010. </w:t>
      </w:r>
      <w:r w:rsidRPr="006A48DC">
        <w:rPr>
          <w:rFonts w:cstheme="minorHAnsi"/>
          <w:i/>
          <w:color w:val="000000" w:themeColor="text1"/>
        </w:rPr>
        <w:t>Keywords in news and journalism studies</w:t>
      </w:r>
      <w:r w:rsidRPr="006A48DC">
        <w:rPr>
          <w:rFonts w:cstheme="minorHAnsi"/>
          <w:color w:val="000000" w:themeColor="text1"/>
        </w:rPr>
        <w:t>. England: McGraw-Hill Education.</w:t>
      </w:r>
    </w:p>
    <w:sectPr w:rsidR="006A48DC" w:rsidRPr="006A48D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3AD445" w14:textId="77777777" w:rsidR="009C5080" w:rsidRDefault="009C5080" w:rsidP="0075534F">
      <w:pPr>
        <w:spacing w:after="0" w:line="240" w:lineRule="auto"/>
      </w:pPr>
      <w:r>
        <w:separator/>
      </w:r>
    </w:p>
  </w:endnote>
  <w:endnote w:type="continuationSeparator" w:id="0">
    <w:p w14:paraId="0EA46323" w14:textId="77777777" w:rsidR="009C5080" w:rsidRDefault="009C5080" w:rsidP="007553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88F16" w14:textId="77777777" w:rsidR="009C5080" w:rsidRDefault="009C5080" w:rsidP="0075534F">
      <w:pPr>
        <w:spacing w:after="0" w:line="240" w:lineRule="auto"/>
      </w:pPr>
      <w:r>
        <w:separator/>
      </w:r>
    </w:p>
  </w:footnote>
  <w:footnote w:type="continuationSeparator" w:id="0">
    <w:p w14:paraId="0B15458A" w14:textId="77777777" w:rsidR="009C5080" w:rsidRDefault="009C5080" w:rsidP="007553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grammar="clean"/>
  <w:doNotTrackFormattin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BCB"/>
    <w:rsid w:val="00012CCB"/>
    <w:rsid w:val="0003191E"/>
    <w:rsid w:val="0008124A"/>
    <w:rsid w:val="000D40F5"/>
    <w:rsid w:val="001475DC"/>
    <w:rsid w:val="0017358A"/>
    <w:rsid w:val="00213E9A"/>
    <w:rsid w:val="00222F0D"/>
    <w:rsid w:val="00303B08"/>
    <w:rsid w:val="00376B54"/>
    <w:rsid w:val="003B753C"/>
    <w:rsid w:val="00446BCB"/>
    <w:rsid w:val="00456B3F"/>
    <w:rsid w:val="0053045D"/>
    <w:rsid w:val="006357BB"/>
    <w:rsid w:val="006477D0"/>
    <w:rsid w:val="00674F7C"/>
    <w:rsid w:val="006A48DC"/>
    <w:rsid w:val="006C3A58"/>
    <w:rsid w:val="0075534F"/>
    <w:rsid w:val="0076285D"/>
    <w:rsid w:val="007C2E61"/>
    <w:rsid w:val="00840EF4"/>
    <w:rsid w:val="00841801"/>
    <w:rsid w:val="00851050"/>
    <w:rsid w:val="00901096"/>
    <w:rsid w:val="0091550C"/>
    <w:rsid w:val="00976901"/>
    <w:rsid w:val="009A16FF"/>
    <w:rsid w:val="009C5080"/>
    <w:rsid w:val="009F1310"/>
    <w:rsid w:val="00A40BEC"/>
    <w:rsid w:val="00A500C9"/>
    <w:rsid w:val="00B37ADB"/>
    <w:rsid w:val="00C338D4"/>
    <w:rsid w:val="00D77A24"/>
    <w:rsid w:val="00EA72C1"/>
    <w:rsid w:val="00EF0621"/>
    <w:rsid w:val="00F4616D"/>
    <w:rsid w:val="00F64B46"/>
    <w:rsid w:val="00F915E5"/>
    <w:rsid w:val="00FB3733"/>
    <w:rsid w:val="00FD57C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5A798"/>
  <w15:chartTrackingRefBased/>
  <w15:docId w15:val="{A05FCA1A-092E-4D35-B013-A28508272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46BCB"/>
    <w:rPr>
      <w:sz w:val="16"/>
      <w:szCs w:val="16"/>
    </w:rPr>
  </w:style>
  <w:style w:type="paragraph" w:styleId="CommentText">
    <w:name w:val="annotation text"/>
    <w:basedOn w:val="Normal"/>
    <w:link w:val="CommentTextChar"/>
    <w:uiPriority w:val="99"/>
    <w:unhideWhenUsed/>
    <w:rsid w:val="00446BCB"/>
    <w:pPr>
      <w:spacing w:after="0" w:line="240" w:lineRule="auto"/>
    </w:pPr>
    <w:rPr>
      <w:sz w:val="20"/>
      <w:szCs w:val="20"/>
    </w:rPr>
  </w:style>
  <w:style w:type="character" w:customStyle="1" w:styleId="CommentTextChar">
    <w:name w:val="Comment Text Char"/>
    <w:basedOn w:val="DefaultParagraphFont"/>
    <w:link w:val="CommentText"/>
    <w:uiPriority w:val="99"/>
    <w:rsid w:val="00446BCB"/>
    <w:rPr>
      <w:sz w:val="20"/>
      <w:szCs w:val="20"/>
    </w:rPr>
  </w:style>
  <w:style w:type="paragraph" w:styleId="CommentSubject">
    <w:name w:val="annotation subject"/>
    <w:basedOn w:val="CommentText"/>
    <w:next w:val="CommentText"/>
    <w:link w:val="CommentSubjectChar"/>
    <w:uiPriority w:val="99"/>
    <w:semiHidden/>
    <w:unhideWhenUsed/>
    <w:rsid w:val="00B37ADB"/>
    <w:pPr>
      <w:spacing w:after="160"/>
    </w:pPr>
    <w:rPr>
      <w:b/>
      <w:bCs/>
    </w:rPr>
  </w:style>
  <w:style w:type="character" w:customStyle="1" w:styleId="CommentSubjectChar">
    <w:name w:val="Comment Subject Char"/>
    <w:basedOn w:val="CommentTextChar"/>
    <w:link w:val="CommentSubject"/>
    <w:uiPriority w:val="99"/>
    <w:semiHidden/>
    <w:rsid w:val="00B37ADB"/>
    <w:rPr>
      <w:b/>
      <w:bCs/>
      <w:sz w:val="20"/>
      <w:szCs w:val="20"/>
    </w:rPr>
  </w:style>
  <w:style w:type="character" w:styleId="FootnoteReference">
    <w:name w:val="footnote reference"/>
    <w:basedOn w:val="DefaultParagraphFont"/>
    <w:uiPriority w:val="99"/>
    <w:unhideWhenUsed/>
    <w:rsid w:val="0075534F"/>
    <w:rPr>
      <w:vertAlign w:val="superscript"/>
    </w:rPr>
  </w:style>
  <w:style w:type="paragraph" w:styleId="FootnoteText">
    <w:name w:val="footnote text"/>
    <w:basedOn w:val="Normal"/>
    <w:link w:val="FootnoteTextChar"/>
    <w:uiPriority w:val="99"/>
    <w:unhideWhenUsed/>
    <w:rsid w:val="0075534F"/>
    <w:pPr>
      <w:spacing w:after="0" w:line="240" w:lineRule="auto"/>
    </w:pPr>
    <w:rPr>
      <w:rFonts w:eastAsiaTheme="minorEastAsia"/>
      <w:sz w:val="24"/>
      <w:szCs w:val="24"/>
      <w:lang w:val="en-US" w:eastAsia="ja-JP"/>
    </w:rPr>
  </w:style>
  <w:style w:type="character" w:customStyle="1" w:styleId="FootnoteTextChar">
    <w:name w:val="Footnote Text Char"/>
    <w:basedOn w:val="DefaultParagraphFont"/>
    <w:link w:val="FootnoteText"/>
    <w:uiPriority w:val="99"/>
    <w:rsid w:val="0075534F"/>
    <w:rPr>
      <w:rFonts w:eastAsiaTheme="minorEastAsia"/>
      <w:sz w:val="24"/>
      <w:szCs w:val="24"/>
      <w:lang w:val="en-US" w:eastAsia="ja-JP"/>
    </w:rPr>
  </w:style>
  <w:style w:type="character" w:customStyle="1" w:styleId="ts-alignment-element">
    <w:name w:val="ts-alignment-element"/>
    <w:basedOn w:val="DefaultParagraphFont"/>
    <w:rsid w:val="0075534F"/>
  </w:style>
  <w:style w:type="paragraph" w:styleId="NormalWeb">
    <w:name w:val="Normal (Web)"/>
    <w:basedOn w:val="Normal"/>
    <w:uiPriority w:val="99"/>
    <w:unhideWhenUsed/>
    <w:rsid w:val="0075534F"/>
    <w:pPr>
      <w:spacing w:before="100" w:beforeAutospacing="1" w:after="100" w:afterAutospacing="1" w:line="240" w:lineRule="auto"/>
    </w:pPr>
    <w:rPr>
      <w:rFonts w:ascii="Times New Roman" w:eastAsia="Times New Roman" w:hAnsi="Times New Roman" w:cs="Times New Roman"/>
      <w:sz w:val="24"/>
      <w:szCs w:val="24"/>
      <w:lang w:val="de-DE"/>
    </w:rPr>
  </w:style>
  <w:style w:type="character" w:styleId="Emphasis">
    <w:name w:val="Emphasis"/>
    <w:basedOn w:val="DefaultParagraphFont"/>
    <w:uiPriority w:val="20"/>
    <w:qFormat/>
    <w:rsid w:val="009769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7727964">
      <w:bodyDiv w:val="1"/>
      <w:marLeft w:val="0"/>
      <w:marRight w:val="0"/>
      <w:marTop w:val="0"/>
      <w:marBottom w:val="0"/>
      <w:divBdr>
        <w:top w:val="none" w:sz="0" w:space="0" w:color="auto"/>
        <w:left w:val="none" w:sz="0" w:space="0" w:color="auto"/>
        <w:bottom w:val="none" w:sz="0" w:space="0" w:color="auto"/>
        <w:right w:val="none" w:sz="0" w:space="0" w:color="auto"/>
      </w:divBdr>
      <w:divsChild>
        <w:div w:id="1568806900">
          <w:marLeft w:val="0"/>
          <w:marRight w:val="0"/>
          <w:marTop w:val="0"/>
          <w:marBottom w:val="0"/>
          <w:divBdr>
            <w:top w:val="none" w:sz="0" w:space="0" w:color="auto"/>
            <w:left w:val="none" w:sz="0" w:space="0" w:color="auto"/>
            <w:bottom w:val="none" w:sz="0" w:space="0" w:color="auto"/>
            <w:right w:val="none" w:sz="0" w:space="0" w:color="auto"/>
          </w:divBdr>
        </w:div>
        <w:div w:id="1676029746">
          <w:marLeft w:val="0"/>
          <w:marRight w:val="0"/>
          <w:marTop w:val="0"/>
          <w:marBottom w:val="0"/>
          <w:divBdr>
            <w:top w:val="none" w:sz="0" w:space="0" w:color="auto"/>
            <w:left w:val="none" w:sz="0" w:space="0" w:color="auto"/>
            <w:bottom w:val="none" w:sz="0" w:space="0" w:color="auto"/>
            <w:right w:val="none" w:sz="0" w:space="0" w:color="auto"/>
          </w:divBdr>
          <w:divsChild>
            <w:div w:id="689649217">
              <w:marLeft w:val="0"/>
              <w:marRight w:val="0"/>
              <w:marTop w:val="0"/>
              <w:marBottom w:val="0"/>
              <w:divBdr>
                <w:top w:val="none" w:sz="0" w:space="0" w:color="auto"/>
                <w:left w:val="none" w:sz="0" w:space="0" w:color="auto"/>
                <w:bottom w:val="none" w:sz="0" w:space="0" w:color="auto"/>
                <w:right w:val="none" w:sz="0" w:space="0" w:color="auto"/>
              </w:divBdr>
              <w:divsChild>
                <w:div w:id="228344216">
                  <w:marLeft w:val="0"/>
                  <w:marRight w:val="0"/>
                  <w:marTop w:val="0"/>
                  <w:marBottom w:val="0"/>
                  <w:divBdr>
                    <w:top w:val="none" w:sz="0" w:space="0" w:color="auto"/>
                    <w:left w:val="none" w:sz="0" w:space="0" w:color="auto"/>
                    <w:bottom w:val="none" w:sz="0" w:space="0" w:color="auto"/>
                    <w:right w:val="none" w:sz="0" w:space="0" w:color="auto"/>
                  </w:divBdr>
                </w:div>
                <w:div w:id="25868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810</Words>
  <Characters>4620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Elegant Owl</dc:creator>
  <cp:keywords/>
  <dc:description/>
  <cp:lastModifiedBy>Rousbeh Legatis</cp:lastModifiedBy>
  <cp:revision>6</cp:revision>
  <dcterms:created xsi:type="dcterms:W3CDTF">2023-08-14T13:23:00Z</dcterms:created>
  <dcterms:modified xsi:type="dcterms:W3CDTF">2023-08-14T14:41:00Z</dcterms:modified>
</cp:coreProperties>
</file>