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45FC9F" w14:textId="77777777" w:rsidR="00FC2FDD" w:rsidRDefault="00FC2FDD" w:rsidP="00C91B6B">
      <w:pPr>
        <w:spacing w:line="360" w:lineRule="auto"/>
        <w:jc w:val="both"/>
      </w:pPr>
    </w:p>
    <w:p w14:paraId="5F5ABA7F" w14:textId="22255577" w:rsidR="00EA62A3" w:rsidRDefault="005212C4" w:rsidP="00EA62A3">
      <w:pPr>
        <w:spacing w:line="360" w:lineRule="auto"/>
        <w:jc w:val="center"/>
        <w:rPr>
          <w:b/>
          <w:bCs/>
        </w:rPr>
      </w:pPr>
      <w:bookmarkStart w:id="0" w:name="OLE_LINK1"/>
      <w:r w:rsidRPr="005212C4">
        <w:rPr>
          <w:b/>
          <w:bCs/>
        </w:rPr>
        <w:t>Embedded Digital War Memories: Gazans' Practices on Digital Space to Prevent Forgetting Traumatic Events</w:t>
      </w:r>
    </w:p>
    <w:bookmarkEnd w:id="0"/>
    <w:p w14:paraId="304706B0" w14:textId="21CA94F0" w:rsidR="00EA62A3" w:rsidRDefault="00EA62A3" w:rsidP="005212C4">
      <w:pPr>
        <w:spacing w:line="360" w:lineRule="auto"/>
        <w:jc w:val="center"/>
        <w:rPr>
          <w:b/>
          <w:bCs/>
        </w:rPr>
      </w:pPr>
      <w:r w:rsidRPr="00EA62A3">
        <w:rPr>
          <w:b/>
          <w:bCs/>
        </w:rPr>
        <w:t>Ali M. Abushbak, PhD</w:t>
      </w:r>
    </w:p>
    <w:p w14:paraId="3D4D48C9" w14:textId="1572D1F8" w:rsidR="00EA62A3" w:rsidRDefault="00EA62A3" w:rsidP="00EA62A3">
      <w:pPr>
        <w:spacing w:line="360" w:lineRule="auto"/>
        <w:jc w:val="center"/>
        <w:rPr>
          <w:b/>
          <w:bCs/>
        </w:rPr>
      </w:pPr>
      <w:r w:rsidRPr="00EA62A3">
        <w:rPr>
          <w:b/>
          <w:bCs/>
        </w:rPr>
        <w:t xml:space="preserve">AJK Mass Communication Research </w:t>
      </w:r>
      <w:proofErr w:type="spellStart"/>
      <w:r w:rsidRPr="00EA62A3">
        <w:rPr>
          <w:b/>
          <w:bCs/>
        </w:rPr>
        <w:t>Center</w:t>
      </w:r>
      <w:proofErr w:type="spellEnd"/>
      <w:r w:rsidRPr="00EA62A3">
        <w:rPr>
          <w:b/>
          <w:bCs/>
        </w:rPr>
        <w:t xml:space="preserve">, Jamia </w:t>
      </w:r>
      <w:proofErr w:type="spellStart"/>
      <w:r w:rsidRPr="00EA62A3">
        <w:rPr>
          <w:b/>
          <w:bCs/>
        </w:rPr>
        <w:t>Millia</w:t>
      </w:r>
      <w:proofErr w:type="spellEnd"/>
      <w:r w:rsidRPr="00EA62A3">
        <w:rPr>
          <w:b/>
          <w:bCs/>
        </w:rPr>
        <w:t xml:space="preserve"> Islamia; Email: </w:t>
      </w:r>
      <w:hyperlink r:id="rId4" w:history="1">
        <w:r w:rsidRPr="00B3098D">
          <w:rPr>
            <w:rStyle w:val="Hyperlink"/>
            <w:b/>
            <w:bCs/>
          </w:rPr>
          <w:t>shbak.press@gmail.com</w:t>
        </w:r>
      </w:hyperlink>
      <w:r>
        <w:rPr>
          <w:b/>
          <w:bCs/>
        </w:rPr>
        <w:t xml:space="preserve"> </w:t>
      </w:r>
    </w:p>
    <w:p w14:paraId="4CECA6BE" w14:textId="2D140653" w:rsidR="00E85A5D" w:rsidRPr="00E85A5D" w:rsidRDefault="00E85A5D" w:rsidP="00EA62A3">
      <w:pPr>
        <w:spacing w:line="360" w:lineRule="auto"/>
        <w:jc w:val="center"/>
        <w:rPr>
          <w:rFonts w:asciiTheme="majorBidi" w:hAnsiTheme="majorBidi" w:cstheme="majorBidi"/>
          <w:b/>
          <w:bCs/>
          <w:i/>
          <w:iCs/>
        </w:rPr>
      </w:pPr>
      <w:r w:rsidRPr="00E85A5D">
        <w:rPr>
          <w:rFonts w:asciiTheme="majorBidi" w:hAnsiTheme="majorBidi" w:cstheme="majorBidi"/>
        </w:rPr>
        <w:t>I prefer</w:t>
      </w:r>
      <w:r w:rsidRPr="00E85A5D">
        <w:rPr>
          <w:rFonts w:asciiTheme="majorBidi" w:hAnsiTheme="majorBidi" w:cstheme="majorBidi"/>
          <w:b/>
          <w:bCs/>
        </w:rPr>
        <w:t xml:space="preserve"> </w:t>
      </w:r>
      <w:r>
        <w:rPr>
          <w:rFonts w:asciiTheme="majorBidi" w:hAnsiTheme="majorBidi" w:cstheme="majorBidi"/>
          <w:b/>
          <w:bCs/>
          <w:i/>
          <w:iCs/>
        </w:rPr>
        <w:t>“</w:t>
      </w:r>
      <w:r w:rsidRPr="00E85A5D">
        <w:rPr>
          <w:rFonts w:asciiTheme="majorBidi" w:hAnsiTheme="majorBidi" w:cstheme="majorBidi"/>
          <w:b/>
          <w:bCs/>
          <w:i/>
          <w:iCs/>
        </w:rPr>
        <w:t>Online Attend</w:t>
      </w:r>
      <w:r>
        <w:rPr>
          <w:rFonts w:asciiTheme="majorBidi" w:hAnsiTheme="majorBidi" w:cstheme="majorBidi"/>
          <w:b/>
          <w:bCs/>
          <w:i/>
          <w:iCs/>
        </w:rPr>
        <w:t>”</w:t>
      </w:r>
    </w:p>
    <w:p w14:paraId="7A26FD04" w14:textId="47E12B03" w:rsidR="00FC2FDD" w:rsidRPr="00FC2FDD" w:rsidRDefault="00FC2FDD" w:rsidP="00C91B6B">
      <w:pPr>
        <w:spacing w:line="360" w:lineRule="auto"/>
        <w:jc w:val="both"/>
        <w:rPr>
          <w:b/>
          <w:bCs/>
        </w:rPr>
      </w:pPr>
      <w:r w:rsidRPr="00FC2FDD">
        <w:rPr>
          <w:b/>
          <w:bCs/>
        </w:rPr>
        <w:t>Abstract</w:t>
      </w:r>
    </w:p>
    <w:p w14:paraId="764EB32B" w14:textId="4116CABE" w:rsidR="00FC2FDD" w:rsidRDefault="00FC2FDD" w:rsidP="00C91B6B">
      <w:pPr>
        <w:spacing w:line="360" w:lineRule="auto"/>
        <w:ind w:firstLine="720"/>
        <w:jc w:val="both"/>
      </w:pPr>
      <w:r w:rsidRPr="00FC2FDD">
        <w:t xml:space="preserve">Individual participation in the war narratives, documenting, disseminating, maintaining traumatic memory, and archiving personal war memories is an interesting phenomenon, particularly in the age of Web 2.0-enabled smartphones, especially in war-torn regions. This study takes a comprehensive look at the practices of ordinary civilians in the Gaza Strip as the rise emerges of the phenomenon of visual war memoir and </w:t>
      </w:r>
      <w:r>
        <w:t>“</w:t>
      </w:r>
      <w:r w:rsidRPr="00FC2FDD">
        <w:t xml:space="preserve">digital </w:t>
      </w:r>
      <w:r w:rsidR="00FE57B9">
        <w:t>memory culture</w:t>
      </w:r>
      <w:r>
        <w:t xml:space="preserve">” </w:t>
      </w:r>
      <w:r w:rsidR="00291FE3">
        <w:fldChar w:fldCharType="begin"/>
      </w:r>
      <w:r w:rsidR="00291FE3">
        <w:instrText xml:space="preserve"> ADDIN ZOTERO_ITEM CSL_CITATION {"citationID":"9B5sVDBO","properties":{"formattedCitation":"(Garde-Hansen et al., 2009)","plainCitation":"(Garde-Hansen et al., 2009)","noteIndex":0},"citationItems":[{"id":123,"uris":["http://zotero.org/users/6221459/items/5UTZF72T"],"itemData":{"id":123,"type":"chapter","container-title":"Save As... Digital Memories","event-place":"England","page":"1-21","publisher":"Palgrave Macmillan","publisher-place":"England","title":"Introduction","author":[{"family":"Garde-Hansen","given":"Joanne"},{"family":"Hoskins","given":"Andrew"},{"family":"Reading","given":"Anna"}],"issued":{"date-parts":[["2009"]]}}}],"schema":"https://github.com/citation-style-language/schema/raw/master/csl-citation.json"} </w:instrText>
      </w:r>
      <w:r w:rsidR="00291FE3">
        <w:fldChar w:fldCharType="separate"/>
      </w:r>
      <w:r w:rsidR="00291FE3">
        <w:rPr>
          <w:noProof/>
        </w:rPr>
        <w:t>(Garde-Hansen et al., 2009)</w:t>
      </w:r>
      <w:r w:rsidR="00291FE3">
        <w:fldChar w:fldCharType="end"/>
      </w:r>
      <w:r w:rsidRPr="00FC2FDD">
        <w:t>, which is a quest for recording, saving, retrieving, and managing the war memories and experiences</w:t>
      </w:r>
      <w:r w:rsidR="00FE57B9">
        <w:t xml:space="preserve"> </w:t>
      </w:r>
      <w:r w:rsidR="00FE57B9" w:rsidRPr="00FE57B9">
        <w:t>by using digital devices</w:t>
      </w:r>
      <w:r w:rsidRPr="00FC2FDD">
        <w:t>. The main arguments of the study reflect on the structures of space on digital devices as an alternative stage, facilitated by media accessibility, ubiquitous camera phones, immediacy, the production and distribution of formerly unobtainable individual experiences, less censorship or authoritarian interfering</w:t>
      </w:r>
      <w:r w:rsidR="00FE57B9">
        <w:t xml:space="preserve">. </w:t>
      </w:r>
    </w:p>
    <w:p w14:paraId="0142B98E" w14:textId="77777777" w:rsidR="00624696" w:rsidRDefault="00624696" w:rsidP="00C91B6B">
      <w:pPr>
        <w:spacing w:line="360" w:lineRule="auto"/>
        <w:ind w:firstLine="720"/>
        <w:jc w:val="both"/>
      </w:pPr>
      <w:r w:rsidRPr="00624696">
        <w:t>The Palestinian case is considered a typical example for examining war memories, as the conflict has been ongoing for more than 70 years. Ordinary individuals in this area are increasingly turning to their smartphones to document and disseminate their daily experiences with first-hand accounts and personal narratives about the war experiences. These accounts ultimately constitute the collective memory, reinforcing communication ties and social cohesion during the escalation by utilizing smartphone cameras to record, retrieve and share their lived experiences during violence escalation.</w:t>
      </w:r>
    </w:p>
    <w:p w14:paraId="29966175" w14:textId="1B9512B2" w:rsidR="00112A55" w:rsidRDefault="00112A55" w:rsidP="00C91B6B">
      <w:pPr>
        <w:spacing w:line="360" w:lineRule="auto"/>
        <w:ind w:firstLine="720"/>
        <w:jc w:val="both"/>
      </w:pPr>
      <w:r w:rsidRPr="00112A55">
        <w:t>In this context, the key prospects of the study explore the shift from the physical spaces of memories and experiences to the virtual space, enabled by smartphones and social media, especially people's memories and emotional associations. The individual smartphone user's perceptions of their personally recorded evidence evoke possible degrees of emotional interaction and a participatory approach to immortalize extraordinary events that impacted their lives during the escalation.</w:t>
      </w:r>
      <w:r>
        <w:t xml:space="preserve"> </w:t>
      </w:r>
      <w:r w:rsidRPr="00112A55">
        <w:t xml:space="preserve">Looking through the </w:t>
      </w:r>
      <w:proofErr w:type="spellStart"/>
      <w:r w:rsidRPr="00112A55">
        <w:t>produsage</w:t>
      </w:r>
      <w:proofErr w:type="spellEnd"/>
      <w:r w:rsidRPr="00112A55">
        <w:t xml:space="preserve"> theory</w:t>
      </w:r>
      <w:r w:rsidR="00C91B6B">
        <w:t xml:space="preserve"> </w:t>
      </w:r>
      <w:r w:rsidR="00C91B6B">
        <w:fldChar w:fldCharType="begin"/>
      </w:r>
      <w:r w:rsidR="00C91B6B">
        <w:instrText xml:space="preserve"> ADDIN ZOTERO_ITEM CSL_CITATION {"citationID":"8RFLppdv","properties":{"formattedCitation":"(Bruns, 2007)","plainCitation":"(Bruns, 2007)","noteIndex":0},"citationItems":[{"id":745,"uris":["http://zotero.org/users/6221459/items/2UAKUFUL"],"itemData":{"id":745,"type":"chapter","abstract":"In the emerging social software, `Web2.0' environment, the production of ideas takes place in a collaborative, participatory mode which breaks down the boundaries between producers and consumers and instead enables all participants to be users as much as producers of information and knowledge, or what can be described as produsers. These produsers engage not in a traditional form of content production, but are instead involved in produsage – the collaborative and continuous building and extending of existing content in pursuit of further improvement. This paper examines the overall characteristics of produsers and produsage, and identifies key questions for the produsage model.","container-title":"Proceedings of perthDAC 2007: The 7th International Digital Arts and Culture Conference","event-place":"Perth","page":"68–77","publisher":"Curtin University of Technology","publisher-place":"Perth","title":"The Future is User-Led: The Path Towards Widespread Produsage","URL":"https://eprints.qut.edu.au/12902/","author":[{"family":"Bruns","given":"Axel"}],"editor":[{"family":"Hutchinson","given":"A."}],"issued":{"date-parts":[["2007"]]}}}],"schema":"https://github.com/citation-style-language/schema/raw/master/csl-citation.json"} </w:instrText>
      </w:r>
      <w:r w:rsidR="00C91B6B">
        <w:fldChar w:fldCharType="separate"/>
      </w:r>
      <w:r w:rsidR="00C91B6B">
        <w:rPr>
          <w:noProof/>
        </w:rPr>
        <w:t>(Bruns, 2007)</w:t>
      </w:r>
      <w:r w:rsidR="00C91B6B">
        <w:fldChar w:fldCharType="end"/>
      </w:r>
      <w:r w:rsidRPr="00112A55">
        <w:t xml:space="preserve">, convergence culture theory </w:t>
      </w:r>
      <w:r w:rsidR="00C91B6B">
        <w:fldChar w:fldCharType="begin"/>
      </w:r>
      <w:r w:rsidR="00C91B6B">
        <w:instrText xml:space="preserve"> ADDIN ZOTERO_ITEM CSL_CITATION {"citationID":"mAya2NcC","properties":{"formattedCitation":"(Jenkins, 2006)","plainCitation":"(Jenkins, 2006)","noteIndex":0},"citationItems":[{"id":903,"uris":["http://zotero.org/users/6221459/items/ASWYZJZT"],"itemData":{"id":903,"type":"book","call-number":"P94.65.U6 J46 2006","event-place":"New York","ISBN":"978-0-8147-4281-5","note":"OCLC: ocm64594290","number-of-pages":"308","publisher":"New York University Press","publisher-place":"New York","source":"Library of Congress ISBN","title":"Convergence culture: where old and new media collide","title-short":"Convergence culture","author":[{"family":"Jenkins","given":"Henry"}],"issued":{"date-parts":[["2006"]]}}}],"schema":"https://github.com/citation-style-language/schema/raw/master/csl-citation.json"} </w:instrText>
      </w:r>
      <w:r w:rsidR="00C91B6B">
        <w:fldChar w:fldCharType="separate"/>
      </w:r>
      <w:r w:rsidR="00C91B6B">
        <w:rPr>
          <w:noProof/>
        </w:rPr>
        <w:t>(Jenkins, 2006)</w:t>
      </w:r>
      <w:r w:rsidR="00C91B6B">
        <w:fldChar w:fldCharType="end"/>
      </w:r>
      <w:r w:rsidRPr="00112A55">
        <w:t>, and the theory of reasoned action</w:t>
      </w:r>
      <w:r w:rsidR="00C91B6B">
        <w:t xml:space="preserve"> </w:t>
      </w:r>
      <w:r w:rsidR="00C91B6B">
        <w:fldChar w:fldCharType="begin"/>
      </w:r>
      <w:r w:rsidR="00C91B6B">
        <w:instrText xml:space="preserve"> ADDIN ZOTERO_ITEM CSL_CITATION {"citationID":"2aqJDV5f","properties":{"formattedCitation":"(Fishbein &amp; Ajzen, 2011)","plainCitation":"(Fishbein &amp; Ajzen, 2011)","noteIndex":0},"citationItems":[{"id":121,"uris":["http://zotero.org/users/6221459/items/GFYAJER5"],"itemData":{"id":121,"type":"book","event-place":"New York","publisher":"Psychology press","publisher-place":"New York","title":"Predicting and changing behavior: The reasoned action approach","author":[{"family":"Fishbein","given":"Martin"},{"family":"Ajzen","given":"Icek"}],"issued":{"date-parts":[["2011"]]}}}],"schema":"https://github.com/citation-style-language/schema/raw/master/csl-citation.json"} </w:instrText>
      </w:r>
      <w:r w:rsidR="00C91B6B">
        <w:fldChar w:fldCharType="separate"/>
      </w:r>
      <w:r w:rsidR="00C91B6B">
        <w:rPr>
          <w:noProof/>
        </w:rPr>
        <w:t xml:space="preserve">(Fishbein &amp; </w:t>
      </w:r>
      <w:r w:rsidR="00C91B6B">
        <w:rPr>
          <w:noProof/>
        </w:rPr>
        <w:lastRenderedPageBreak/>
        <w:t>Ajzen, 2011)</w:t>
      </w:r>
      <w:r w:rsidR="00C91B6B">
        <w:fldChar w:fldCharType="end"/>
      </w:r>
      <w:r w:rsidRPr="00112A55">
        <w:t xml:space="preserve">, </w:t>
      </w:r>
      <w:r w:rsidR="00624696">
        <w:t>t</w:t>
      </w:r>
      <w:r w:rsidR="00624696" w:rsidRPr="00624696">
        <w:t xml:space="preserve">he study attempts to understand the specific practices of ordinary smartphone users to record, share, and maintain their intimate war memories. Furthermore, it examines how the embedding of such technology in the conflict by ordinary people has changed their </w:t>
      </w:r>
      <w:proofErr w:type="spellStart"/>
      <w:r w:rsidR="00624696" w:rsidRPr="00624696">
        <w:t>behavior</w:t>
      </w:r>
      <w:proofErr w:type="spellEnd"/>
      <w:r w:rsidR="00624696" w:rsidRPr="00624696">
        <w:t xml:space="preserve"> and affected the current war memories associated with the memories of the 1948 war.</w:t>
      </w:r>
    </w:p>
    <w:p w14:paraId="0E21EAF7" w14:textId="417C02FA" w:rsidR="008922BF" w:rsidRDefault="00587F0A" w:rsidP="00C91B6B">
      <w:pPr>
        <w:spacing w:line="360" w:lineRule="auto"/>
        <w:ind w:firstLine="720"/>
        <w:jc w:val="both"/>
      </w:pPr>
      <w:r w:rsidRPr="00587F0A">
        <w:t>Considering an ethnographic research design supported by in-depth interviews with ten ordinary smartphone users who participate in documenting their war experiences/memories during the military operation in Gaza, using interpretative phenomenological analysis (IPA) to gain a broader understanding of how ordinary individuals in conflict areas engage with constant collective war memories as a comprehensive methodological approach to manifest their participation.</w:t>
      </w:r>
      <w:r>
        <w:t xml:space="preserve"> </w:t>
      </w:r>
      <w:r w:rsidR="008922BF" w:rsidRPr="008922BF">
        <w:t xml:space="preserve">Additionally, 15 units of smartphone footage from the interviewees' accounts on various platforms were </w:t>
      </w:r>
      <w:proofErr w:type="spellStart"/>
      <w:r w:rsidR="008922BF" w:rsidRPr="008922BF">
        <w:t>analyzed</w:t>
      </w:r>
      <w:proofErr w:type="spellEnd"/>
      <w:r w:rsidR="008922BF" w:rsidRPr="008922BF">
        <w:t xml:space="preserve"> using a purposive sampling technique</w:t>
      </w:r>
      <w:r w:rsidR="00C91B6B">
        <w:t xml:space="preserve"> </w:t>
      </w:r>
      <w:r w:rsidR="00C91B6B">
        <w:fldChar w:fldCharType="begin"/>
      </w:r>
      <w:r w:rsidR="00C91B6B">
        <w:instrText xml:space="preserve"> ADDIN ZOTERO_ITEM CSL_CITATION {"citationID":"JJsXTzAT","properties":{"formattedCitation":"(Sandelowski, 1995)","plainCitation":"(Sandelowski, 1995)","noteIndex":0},"citationItems":[{"id":923,"uris":["http://zotero.org/users/6221459/items/STT8BQTN"],"itemData":{"id":923,"type":"article-journal","container-title":"Research in Nursing &amp; Health","DOI":"10.1002/nur.4770180211","ISSN":"01606891, 1098240X","issue":"2","journalAbbreviation":"Res. Nurs. Health","language":"en","page":"179-183","source":"DOI.org (Crossref)","title":"Sample size in qualitative research","volume":"18","author":[{"family":"Sandelowski","given":"Margarete"}],"issued":{"date-parts":[["1995",4]]}}}],"schema":"https://github.com/citation-style-language/schema/raw/master/csl-citation.json"} </w:instrText>
      </w:r>
      <w:r w:rsidR="00C91B6B">
        <w:fldChar w:fldCharType="separate"/>
      </w:r>
      <w:r w:rsidR="00C91B6B">
        <w:rPr>
          <w:noProof/>
        </w:rPr>
        <w:t>(Sandelowski, 1995)</w:t>
      </w:r>
      <w:r w:rsidR="00C91B6B">
        <w:fldChar w:fldCharType="end"/>
      </w:r>
      <w:r w:rsidR="008922BF" w:rsidRPr="008922BF">
        <w:t xml:space="preserve">. To </w:t>
      </w:r>
      <w:proofErr w:type="spellStart"/>
      <w:r w:rsidR="008922BF" w:rsidRPr="008922BF">
        <w:t>analyze</w:t>
      </w:r>
      <w:proofErr w:type="spellEnd"/>
      <w:r w:rsidR="008922BF" w:rsidRPr="008922BF">
        <w:t xml:space="preserve"> the patterns of videos that individuals record and share on social media that could be an integral part of the collective memories, the study employed Barthes's semiotic theory </w:t>
      </w:r>
      <w:r w:rsidR="00C91B6B">
        <w:fldChar w:fldCharType="begin"/>
      </w:r>
      <w:r w:rsidR="00C91B6B">
        <w:instrText xml:space="preserve"> ADDIN ZOTERO_ITEM CSL_CITATION {"citationID":"xT7HM1gX","properties":{"formattedCitation":"(1961)","plainCitation":"(1961)","noteIndex":0},"citationItems":[{"id":930,"uris":["http://zotero.org/users/6221459/items/WD8T6HN2"],"itemData":{"id":930,"type":"chapter","container-title":"A Barthes Reader","event-place":"New York","language":"en","page":"194–210","publisher":"Hill and Wang","publisher-place":"New York","title":"The photographic message’","author":[{"family":"Barthes","given":"R."}],"editor":[{"family":"Sontag","given":"S."}],"issued":{"date-parts":[["1961"]]}},"label":"page","suppress-author":true}],"schema":"https://github.com/citation-style-language/schema/raw/master/csl-citation.json"} </w:instrText>
      </w:r>
      <w:r w:rsidR="00C91B6B">
        <w:fldChar w:fldCharType="separate"/>
      </w:r>
      <w:r w:rsidR="00C91B6B">
        <w:rPr>
          <w:noProof/>
        </w:rPr>
        <w:t>(1961)</w:t>
      </w:r>
      <w:r w:rsidR="00C91B6B">
        <w:fldChar w:fldCharType="end"/>
      </w:r>
      <w:r w:rsidR="008922BF" w:rsidRPr="008922BF">
        <w:t xml:space="preserve"> as analytical frameworks to facilitate a nuanced exploration of both the connotative and denotative meanings conveyed by the footage and the underlying motivations driving the production and activism of ordinary mobile phone users. The study selected the Israeli military "Operation Guardian of the Walls" in Gaza in May 2021 as a case study to investigate how shared individual experiences during the war constitute the collective war memories.</w:t>
      </w:r>
    </w:p>
    <w:p w14:paraId="4BD4E2EF" w14:textId="77777777" w:rsidR="00C91B6B" w:rsidRDefault="00C91B6B" w:rsidP="00C91B6B">
      <w:pPr>
        <w:spacing w:line="360" w:lineRule="auto"/>
        <w:ind w:firstLine="720"/>
        <w:jc w:val="both"/>
      </w:pPr>
    </w:p>
    <w:p w14:paraId="08D016C5" w14:textId="4861CF89" w:rsidR="00C91B6B" w:rsidRDefault="00C91B6B" w:rsidP="00C91B6B">
      <w:pPr>
        <w:spacing w:line="360" w:lineRule="auto"/>
        <w:ind w:firstLine="720"/>
        <w:jc w:val="both"/>
      </w:pPr>
      <w:r w:rsidRPr="00C91B6B">
        <w:rPr>
          <w:b/>
          <w:bCs/>
        </w:rPr>
        <w:t>Keywords</w:t>
      </w:r>
      <w:r>
        <w:t>:</w:t>
      </w:r>
      <w:r w:rsidRPr="00C91B6B">
        <w:t xml:space="preserve"> </w:t>
      </w:r>
      <w:r w:rsidRPr="00C91B6B">
        <w:rPr>
          <w:i/>
          <w:iCs/>
        </w:rPr>
        <w:t>Smartphone, Social media, War memories, Traumatic memories, Visual memoir, War narrative, Israel-Palestine conflict</w:t>
      </w:r>
    </w:p>
    <w:p w14:paraId="5D18F025" w14:textId="77777777" w:rsidR="00C91B6B" w:rsidRDefault="00C91B6B" w:rsidP="00C91B6B">
      <w:pPr>
        <w:spacing w:line="360" w:lineRule="auto"/>
        <w:ind w:firstLine="720"/>
        <w:jc w:val="both"/>
      </w:pPr>
    </w:p>
    <w:p w14:paraId="2A753053" w14:textId="14AFC321" w:rsidR="00C91B6B" w:rsidRPr="00C91B6B" w:rsidRDefault="00C91B6B" w:rsidP="00C91B6B">
      <w:pPr>
        <w:spacing w:line="360" w:lineRule="auto"/>
        <w:ind w:firstLine="720"/>
        <w:jc w:val="center"/>
        <w:rPr>
          <w:b/>
          <w:bCs/>
        </w:rPr>
      </w:pPr>
      <w:r w:rsidRPr="00C91B6B">
        <w:rPr>
          <w:b/>
          <w:bCs/>
        </w:rPr>
        <w:t>References</w:t>
      </w:r>
    </w:p>
    <w:p w14:paraId="47A4B280" w14:textId="77777777" w:rsidR="00291FE3" w:rsidRPr="00291FE3" w:rsidRDefault="00C91B6B" w:rsidP="00291FE3">
      <w:pPr>
        <w:pStyle w:val="Bibliography"/>
        <w:rPr>
          <w:rFonts w:ascii="Calibri" w:cs="Calibri"/>
          <w:lang w:val="en-GB"/>
        </w:rPr>
      </w:pPr>
      <w:r>
        <w:fldChar w:fldCharType="begin"/>
      </w:r>
      <w:r>
        <w:instrText xml:space="preserve"> ADDIN ZOTERO_BIBL {"uncited":[],"omitted":[],"custom":[]} CSL_BIBLIOGRAPHY </w:instrText>
      </w:r>
      <w:r>
        <w:fldChar w:fldCharType="separate"/>
      </w:r>
      <w:r w:rsidR="00291FE3" w:rsidRPr="00291FE3">
        <w:rPr>
          <w:rFonts w:ascii="Calibri" w:cs="Calibri"/>
          <w:lang w:val="en-GB"/>
        </w:rPr>
        <w:t xml:space="preserve">Barthes, R. (1961). The photographic message’. In S. Sontag (Ed.), </w:t>
      </w:r>
      <w:r w:rsidR="00291FE3" w:rsidRPr="00291FE3">
        <w:rPr>
          <w:rFonts w:ascii="Calibri" w:cs="Calibri"/>
          <w:i/>
          <w:iCs/>
          <w:lang w:val="en-GB"/>
        </w:rPr>
        <w:t>A Barthes Reader</w:t>
      </w:r>
      <w:r w:rsidR="00291FE3" w:rsidRPr="00291FE3">
        <w:rPr>
          <w:rFonts w:ascii="Calibri" w:cs="Calibri"/>
          <w:lang w:val="en-GB"/>
        </w:rPr>
        <w:t xml:space="preserve"> (pp. 194–210). Hill and Wang.</w:t>
      </w:r>
    </w:p>
    <w:p w14:paraId="1460A502" w14:textId="77777777" w:rsidR="00291FE3" w:rsidRPr="00291FE3" w:rsidRDefault="00291FE3" w:rsidP="00291FE3">
      <w:pPr>
        <w:pStyle w:val="Bibliography"/>
        <w:rPr>
          <w:rFonts w:ascii="Calibri" w:cs="Calibri"/>
          <w:lang w:val="en-GB"/>
        </w:rPr>
      </w:pPr>
      <w:r w:rsidRPr="00291FE3">
        <w:rPr>
          <w:rFonts w:ascii="Calibri" w:cs="Calibri"/>
          <w:lang w:val="en-GB"/>
        </w:rPr>
        <w:t xml:space="preserve">Bruns, A. (2007). The Future is User-Led: The Path Towards Widespread Produsage. In A. Hutchinson (Ed.), </w:t>
      </w:r>
      <w:r w:rsidRPr="00291FE3">
        <w:rPr>
          <w:rFonts w:ascii="Calibri" w:cs="Calibri"/>
          <w:i/>
          <w:iCs/>
          <w:lang w:val="en-GB"/>
        </w:rPr>
        <w:t xml:space="preserve">Proceedings of perthDAC 2007: The 7th International Digital Arts </w:t>
      </w:r>
      <w:r w:rsidRPr="00291FE3">
        <w:rPr>
          <w:rFonts w:ascii="Calibri" w:cs="Calibri"/>
          <w:i/>
          <w:iCs/>
          <w:lang w:val="en-GB"/>
        </w:rPr>
        <w:lastRenderedPageBreak/>
        <w:t>and Culture Conference</w:t>
      </w:r>
      <w:r w:rsidRPr="00291FE3">
        <w:rPr>
          <w:rFonts w:ascii="Calibri" w:cs="Calibri"/>
          <w:lang w:val="en-GB"/>
        </w:rPr>
        <w:t xml:space="preserve"> (pp. 68–77). Curtin University of Technology. https://eprints.qut.edu.au/12902/</w:t>
      </w:r>
    </w:p>
    <w:p w14:paraId="5AA6E7C3" w14:textId="77777777" w:rsidR="00291FE3" w:rsidRPr="00291FE3" w:rsidRDefault="00291FE3" w:rsidP="00291FE3">
      <w:pPr>
        <w:pStyle w:val="Bibliography"/>
        <w:rPr>
          <w:rFonts w:ascii="Calibri" w:cs="Calibri"/>
          <w:lang w:val="en-GB"/>
        </w:rPr>
      </w:pPr>
      <w:r w:rsidRPr="00291FE3">
        <w:rPr>
          <w:rFonts w:ascii="Calibri" w:cs="Calibri"/>
          <w:lang w:val="en-GB"/>
        </w:rPr>
        <w:t xml:space="preserve">Fishbein, M., &amp; Ajzen, I. (2011). </w:t>
      </w:r>
      <w:r w:rsidRPr="00291FE3">
        <w:rPr>
          <w:rFonts w:ascii="Calibri" w:cs="Calibri"/>
          <w:i/>
          <w:iCs/>
          <w:lang w:val="en-GB"/>
        </w:rPr>
        <w:t>Predicting and changing behavior: The reasoned action approach</w:t>
      </w:r>
      <w:r w:rsidRPr="00291FE3">
        <w:rPr>
          <w:rFonts w:ascii="Calibri" w:cs="Calibri"/>
          <w:lang w:val="en-GB"/>
        </w:rPr>
        <w:t>. Psychology press.</w:t>
      </w:r>
    </w:p>
    <w:p w14:paraId="5015F9DB" w14:textId="77777777" w:rsidR="00291FE3" w:rsidRPr="00291FE3" w:rsidRDefault="00291FE3" w:rsidP="00291FE3">
      <w:pPr>
        <w:pStyle w:val="Bibliography"/>
        <w:rPr>
          <w:rFonts w:ascii="Calibri" w:cs="Calibri"/>
          <w:lang w:val="en-GB"/>
        </w:rPr>
      </w:pPr>
      <w:r w:rsidRPr="00291FE3">
        <w:rPr>
          <w:rFonts w:ascii="Calibri" w:cs="Calibri"/>
          <w:lang w:val="en-GB"/>
        </w:rPr>
        <w:t xml:space="preserve">Garde-Hansen, J., Hoskins, A., &amp; Reading, A. (2009). Introduction. In </w:t>
      </w:r>
      <w:r w:rsidRPr="00291FE3">
        <w:rPr>
          <w:rFonts w:ascii="Calibri" w:cs="Calibri"/>
          <w:i/>
          <w:iCs/>
          <w:lang w:val="en-GB"/>
        </w:rPr>
        <w:t>Save As... Digital Memories</w:t>
      </w:r>
      <w:r w:rsidRPr="00291FE3">
        <w:rPr>
          <w:rFonts w:ascii="Calibri" w:cs="Calibri"/>
          <w:lang w:val="en-GB"/>
        </w:rPr>
        <w:t xml:space="preserve"> (pp. 1–21). Palgrave Macmillan.</w:t>
      </w:r>
    </w:p>
    <w:p w14:paraId="761F347A" w14:textId="77777777" w:rsidR="00291FE3" w:rsidRPr="00291FE3" w:rsidRDefault="00291FE3" w:rsidP="00291FE3">
      <w:pPr>
        <w:pStyle w:val="Bibliography"/>
        <w:rPr>
          <w:rFonts w:ascii="Calibri" w:cs="Calibri"/>
          <w:lang w:val="en-GB"/>
        </w:rPr>
      </w:pPr>
      <w:r w:rsidRPr="00291FE3">
        <w:rPr>
          <w:rFonts w:ascii="Calibri" w:cs="Calibri"/>
          <w:lang w:val="en-GB"/>
        </w:rPr>
        <w:t xml:space="preserve">Jenkins, H. (2006). </w:t>
      </w:r>
      <w:r w:rsidRPr="00291FE3">
        <w:rPr>
          <w:rFonts w:ascii="Calibri" w:cs="Calibri"/>
          <w:i/>
          <w:iCs/>
          <w:lang w:val="en-GB"/>
        </w:rPr>
        <w:t>Convergence culture: Where old and new media collide</w:t>
      </w:r>
      <w:r w:rsidRPr="00291FE3">
        <w:rPr>
          <w:rFonts w:ascii="Calibri" w:cs="Calibri"/>
          <w:lang w:val="en-GB"/>
        </w:rPr>
        <w:t>. New York University Press.</w:t>
      </w:r>
    </w:p>
    <w:p w14:paraId="262D1812" w14:textId="77777777" w:rsidR="00291FE3" w:rsidRPr="00291FE3" w:rsidRDefault="00291FE3" w:rsidP="00291FE3">
      <w:pPr>
        <w:pStyle w:val="Bibliography"/>
        <w:rPr>
          <w:rFonts w:ascii="Calibri" w:cs="Calibri"/>
          <w:lang w:val="en-GB"/>
        </w:rPr>
      </w:pPr>
      <w:r w:rsidRPr="00291FE3">
        <w:rPr>
          <w:rFonts w:ascii="Calibri" w:cs="Calibri"/>
          <w:lang w:val="en-GB"/>
        </w:rPr>
        <w:t xml:space="preserve">Sandelowski, M. (1995). Sample size in qualitative research. </w:t>
      </w:r>
      <w:r w:rsidRPr="00291FE3">
        <w:rPr>
          <w:rFonts w:ascii="Calibri" w:cs="Calibri"/>
          <w:i/>
          <w:iCs/>
          <w:lang w:val="en-GB"/>
        </w:rPr>
        <w:t>Research in Nursing &amp; Health</w:t>
      </w:r>
      <w:r w:rsidRPr="00291FE3">
        <w:rPr>
          <w:rFonts w:ascii="Calibri" w:cs="Calibri"/>
          <w:lang w:val="en-GB"/>
        </w:rPr>
        <w:t xml:space="preserve">, </w:t>
      </w:r>
      <w:r w:rsidRPr="00291FE3">
        <w:rPr>
          <w:rFonts w:ascii="Calibri" w:cs="Calibri"/>
          <w:i/>
          <w:iCs/>
          <w:lang w:val="en-GB"/>
        </w:rPr>
        <w:t>18</w:t>
      </w:r>
      <w:r w:rsidRPr="00291FE3">
        <w:rPr>
          <w:rFonts w:ascii="Calibri" w:cs="Calibri"/>
          <w:lang w:val="en-GB"/>
        </w:rPr>
        <w:t>(2), 179–183. https://doi.org/10.1002/nur.4770180211</w:t>
      </w:r>
    </w:p>
    <w:p w14:paraId="40DB968C" w14:textId="661443AC" w:rsidR="00C91B6B" w:rsidRPr="00FE26C4" w:rsidRDefault="00C91B6B" w:rsidP="00C91B6B">
      <w:pPr>
        <w:spacing w:line="360" w:lineRule="auto"/>
        <w:ind w:firstLine="720"/>
        <w:jc w:val="both"/>
      </w:pPr>
      <w:r>
        <w:fldChar w:fldCharType="end"/>
      </w:r>
    </w:p>
    <w:sectPr w:rsidR="00C91B6B" w:rsidRPr="00FE26C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26C4"/>
    <w:rsid w:val="00112A55"/>
    <w:rsid w:val="001642E3"/>
    <w:rsid w:val="001C682B"/>
    <w:rsid w:val="00216EA7"/>
    <w:rsid w:val="00265C5D"/>
    <w:rsid w:val="00291FE3"/>
    <w:rsid w:val="002D0C00"/>
    <w:rsid w:val="005212C4"/>
    <w:rsid w:val="00585291"/>
    <w:rsid w:val="00587F0A"/>
    <w:rsid w:val="005C7DA8"/>
    <w:rsid w:val="00624696"/>
    <w:rsid w:val="008922BF"/>
    <w:rsid w:val="00A6239D"/>
    <w:rsid w:val="00BF18FA"/>
    <w:rsid w:val="00C91B6B"/>
    <w:rsid w:val="00E85A5D"/>
    <w:rsid w:val="00E93D9B"/>
    <w:rsid w:val="00EA62A3"/>
    <w:rsid w:val="00FC2FDD"/>
    <w:rsid w:val="00FE26C4"/>
    <w:rsid w:val="00FE57B9"/>
  </w:rsids>
  <m:mathPr>
    <m:mathFont m:val="Cambria Math"/>
    <m:brkBin m:val="before"/>
    <m:brkBinSub m:val="--"/>
    <m:smallFrac m:val="0"/>
    <m:dispDef/>
    <m:lMargin m:val="0"/>
    <m:rMargin m:val="0"/>
    <m:defJc m:val="centerGroup"/>
    <m:wrapIndent m:val="1440"/>
    <m:intLim m:val="subSup"/>
    <m:naryLim m:val="undOvr"/>
  </m:mathPr>
  <w:themeFontLang w:val="en-IN" w:bidi="ar-SA"/>
  <w:clrSchemeMapping w:bg1="light1" w:t1="dark1" w:bg2="light2" w:t2="dark2" w:accent1="accent1" w:accent2="accent2" w:accent3="accent3" w:accent4="accent4" w:accent5="accent5" w:accent6="accent6" w:hyperlink="hyperlink" w:followedHyperlink="followedHyperlink"/>
  <w:decimalSymbol w:val="."/>
  <w:listSeparator w:val=","/>
  <w14:docId w14:val="69CA1D70"/>
  <w15:chartTrackingRefBased/>
  <w15:docId w15:val="{C46F2D4A-362C-E541-B6B1-199B8EDFEB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IN"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ibliography">
    <w:name w:val="Bibliography"/>
    <w:basedOn w:val="Normal"/>
    <w:next w:val="Normal"/>
    <w:uiPriority w:val="37"/>
    <w:unhideWhenUsed/>
    <w:rsid w:val="00C91B6B"/>
    <w:pPr>
      <w:spacing w:line="480" w:lineRule="auto"/>
      <w:ind w:left="720" w:hanging="720"/>
    </w:pPr>
  </w:style>
  <w:style w:type="character" w:styleId="Hyperlink">
    <w:name w:val="Hyperlink"/>
    <w:basedOn w:val="DefaultParagraphFont"/>
    <w:uiPriority w:val="99"/>
    <w:unhideWhenUsed/>
    <w:rsid w:val="00EA62A3"/>
    <w:rPr>
      <w:color w:val="0563C1" w:themeColor="hyperlink"/>
      <w:u w:val="single"/>
    </w:rPr>
  </w:style>
  <w:style w:type="character" w:styleId="UnresolvedMention">
    <w:name w:val="Unresolved Mention"/>
    <w:basedOn w:val="DefaultParagraphFont"/>
    <w:uiPriority w:val="99"/>
    <w:semiHidden/>
    <w:unhideWhenUsed/>
    <w:rsid w:val="00EA62A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shbak.press@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3</Pages>
  <Words>1550</Words>
  <Characters>8836</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 M.A. ABUSHBAK</dc:creator>
  <cp:keywords/>
  <dc:description/>
  <cp:lastModifiedBy>ALI M.A. ABUSHBAK</cp:lastModifiedBy>
  <cp:revision>14</cp:revision>
  <dcterms:created xsi:type="dcterms:W3CDTF">2023-08-06T03:16:00Z</dcterms:created>
  <dcterms:modified xsi:type="dcterms:W3CDTF">2023-08-09T10:17:00Z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id="pG9hIl3P"/&gt;&lt;style id="http://www.zotero.org/styles/apa" locale="en-GB" hasBibliography="1" bibliographyStyleHasBeenSet="1"/&gt;&lt;prefs&gt;&lt;pref name="fieldType" value="Field"/&gt;&lt;pref name="automaticJourn</vt:lpwstr>
  </property>
  <property fmtid="{D5CDD505-2E9C-101B-9397-08002B2CF9AE}" pid="3" name="ZOTERO_PREF_2">
    <vt:lpwstr>alAbbreviations" value="true"/&gt;&lt;/prefs&gt;&lt;/data&gt;</vt:lpwstr>
  </property>
</Properties>
</file>